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17AD1" w14:textId="77777777" w:rsidR="0042739D" w:rsidRPr="00304BE7" w:rsidRDefault="0042739D" w:rsidP="0042739D">
      <w:pPr>
        <w:pStyle w:val="Normal1"/>
        <w:spacing w:before="120" w:after="0"/>
        <w:rPr>
          <w:rFonts w:ascii="Arial" w:hAnsi="Arial" w:cs="Arial"/>
          <w:b/>
        </w:rPr>
      </w:pPr>
    </w:p>
    <w:tbl>
      <w:tblPr>
        <w:tblW w:w="11154" w:type="dxa"/>
        <w:tblInd w:w="-46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20" w:firstRow="1" w:lastRow="0" w:firstColumn="0" w:lastColumn="0" w:noHBand="0" w:noVBand="1"/>
      </w:tblPr>
      <w:tblGrid>
        <w:gridCol w:w="5577"/>
        <w:gridCol w:w="5577"/>
      </w:tblGrid>
      <w:tr w:rsidR="00304BE7" w:rsidRPr="00304BE7" w14:paraId="0ECEF0B6" w14:textId="77777777" w:rsidTr="00535A14">
        <w:trPr>
          <w:trHeight w:val="481"/>
        </w:trPr>
        <w:tc>
          <w:tcPr>
            <w:tcW w:w="5577" w:type="dxa"/>
          </w:tcPr>
          <w:p w14:paraId="5AC0FD13" w14:textId="77777777" w:rsidR="00A130D3" w:rsidRDefault="00304BE7" w:rsidP="00304BE7">
            <w:pPr>
              <w:pStyle w:val="Normal1"/>
              <w:spacing w:before="240" w:after="0"/>
              <w:rPr>
                <w:rFonts w:asciiTheme="minorHAnsi" w:hAnsiTheme="minorHAnsi" w:cs="Arial"/>
                <w:b/>
              </w:rPr>
            </w:pPr>
            <w:r w:rsidRPr="00945575">
              <w:rPr>
                <w:rFonts w:asciiTheme="minorHAnsi" w:hAnsiTheme="minorHAnsi" w:cs="Arial"/>
                <w:b/>
              </w:rPr>
              <w:t xml:space="preserve">     </w:t>
            </w:r>
          </w:p>
          <w:p w14:paraId="00116890" w14:textId="38B9AFBF" w:rsidR="00304BE7" w:rsidRPr="00945575" w:rsidRDefault="00304BE7" w:rsidP="00A130D3">
            <w:pPr>
              <w:pStyle w:val="Normal1"/>
              <w:spacing w:before="240" w:after="0"/>
              <w:ind w:left="288"/>
              <w:rPr>
                <w:rFonts w:asciiTheme="minorHAnsi" w:hAnsiTheme="minorHAnsi" w:cs="Arial"/>
                <w:b/>
              </w:rPr>
            </w:pPr>
            <w:r w:rsidRPr="00945575">
              <w:rPr>
                <w:rFonts w:asciiTheme="minorHAnsi" w:hAnsiTheme="minorHAnsi" w:cs="Arial"/>
                <w:b/>
              </w:rPr>
              <w:t>FOR IMMEDIATE RELEASE</w:t>
            </w:r>
          </w:p>
        </w:tc>
        <w:tc>
          <w:tcPr>
            <w:tcW w:w="5577" w:type="dxa"/>
          </w:tcPr>
          <w:p w14:paraId="4B5C73EC" w14:textId="77777777" w:rsidR="00A130D3" w:rsidRPr="00A130D3" w:rsidRDefault="00A130D3" w:rsidP="00A130D3">
            <w:pPr>
              <w:pStyle w:val="Normal1"/>
              <w:spacing w:before="240" w:after="0"/>
              <w:ind w:right="1152"/>
              <w:jc w:val="right"/>
              <w:rPr>
                <w:rFonts w:asciiTheme="minorHAnsi" w:hAnsiTheme="minorHAnsi" w:cstheme="minorHAnsi"/>
              </w:rPr>
            </w:pPr>
          </w:p>
          <w:p w14:paraId="36E51E7A" w14:textId="14241274" w:rsidR="00304BE7" w:rsidRPr="00A130D3" w:rsidRDefault="00304BE7" w:rsidP="00A130D3">
            <w:pPr>
              <w:pStyle w:val="Normal1"/>
              <w:spacing w:before="240" w:after="0"/>
              <w:ind w:right="1152"/>
              <w:jc w:val="right"/>
              <w:rPr>
                <w:rFonts w:asciiTheme="minorHAnsi" w:hAnsiTheme="minorHAnsi" w:cstheme="minorHAnsi"/>
              </w:rPr>
            </w:pPr>
            <w:r w:rsidRPr="00A130D3">
              <w:rPr>
                <w:rFonts w:asciiTheme="minorHAnsi" w:hAnsiTheme="minorHAnsi" w:cstheme="minorHAnsi"/>
                <w:b/>
                <w:bCs/>
              </w:rPr>
              <w:t>CONTACT:</w:t>
            </w:r>
            <w:r w:rsidRPr="00A130D3">
              <w:rPr>
                <w:rFonts w:asciiTheme="minorHAnsi" w:hAnsiTheme="minorHAnsi" w:cstheme="minorHAnsi"/>
              </w:rPr>
              <w:t xml:space="preserve">  </w:t>
            </w:r>
            <w:r w:rsidR="00B0644B" w:rsidRPr="00A130D3">
              <w:rPr>
                <w:rFonts w:asciiTheme="minorHAnsi" w:hAnsiTheme="minorHAnsi" w:cstheme="minorHAnsi"/>
              </w:rPr>
              <w:t>Andrew Rogers</w:t>
            </w:r>
          </w:p>
        </w:tc>
      </w:tr>
      <w:tr w:rsidR="00304BE7" w:rsidRPr="00304BE7" w14:paraId="4333EE67" w14:textId="77777777" w:rsidTr="00945575">
        <w:trPr>
          <w:trHeight w:val="35"/>
        </w:trPr>
        <w:tc>
          <w:tcPr>
            <w:tcW w:w="5577" w:type="dxa"/>
          </w:tcPr>
          <w:p w14:paraId="33F534AF" w14:textId="77777777" w:rsidR="00304BE7" w:rsidRPr="00945575" w:rsidRDefault="00304BE7" w:rsidP="00304BE7">
            <w:pPr>
              <w:pStyle w:val="Normal1"/>
              <w:spacing w:before="240" w:after="0"/>
              <w:rPr>
                <w:rFonts w:asciiTheme="minorHAnsi" w:hAnsiTheme="minorHAnsi" w:cs="Arial"/>
              </w:rPr>
            </w:pPr>
          </w:p>
        </w:tc>
        <w:tc>
          <w:tcPr>
            <w:tcW w:w="5577" w:type="dxa"/>
          </w:tcPr>
          <w:p w14:paraId="6224A509" w14:textId="64B5D7B5" w:rsidR="00304BE7" w:rsidRPr="00A130D3" w:rsidRDefault="008355EE" w:rsidP="00A130D3">
            <w:pPr>
              <w:pStyle w:val="Normal1"/>
              <w:spacing w:after="0"/>
              <w:ind w:right="1152"/>
              <w:jc w:val="right"/>
              <w:rPr>
                <w:rFonts w:asciiTheme="minorHAnsi" w:hAnsiTheme="minorHAnsi" w:cstheme="minorHAnsi"/>
              </w:rPr>
            </w:pPr>
            <w:r w:rsidRPr="00A130D3">
              <w:rPr>
                <w:rFonts w:asciiTheme="minorHAnsi" w:hAnsiTheme="minorHAnsi" w:cstheme="minorHAnsi"/>
              </w:rPr>
              <w:t xml:space="preserve">                         </w:t>
            </w:r>
            <w:r w:rsidR="004F1104" w:rsidRPr="00A130D3">
              <w:rPr>
                <w:rFonts w:asciiTheme="minorHAnsi" w:hAnsiTheme="minorHAnsi" w:cstheme="minorHAnsi"/>
              </w:rPr>
              <w:t xml:space="preserve">(913) </w:t>
            </w:r>
            <w:r w:rsidR="00C66EDA" w:rsidRPr="00A130D3">
              <w:rPr>
                <w:rFonts w:asciiTheme="minorHAnsi" w:hAnsiTheme="minorHAnsi" w:cstheme="minorHAnsi"/>
              </w:rPr>
              <w:t>203-2927</w:t>
            </w:r>
          </w:p>
          <w:p w14:paraId="32DC2994" w14:textId="72C68433" w:rsidR="00304BE7" w:rsidRPr="00A130D3" w:rsidRDefault="008355EE" w:rsidP="00A130D3">
            <w:pPr>
              <w:pStyle w:val="Normal1"/>
              <w:spacing w:after="0"/>
              <w:ind w:left="1339" w:right="1152"/>
              <w:jc w:val="right"/>
              <w:rPr>
                <w:rFonts w:asciiTheme="minorHAnsi" w:hAnsiTheme="minorHAnsi" w:cstheme="minorHAnsi"/>
              </w:rPr>
            </w:pPr>
            <w:r w:rsidRPr="00A130D3">
              <w:rPr>
                <w:rFonts w:asciiTheme="minorHAnsi" w:hAnsiTheme="minorHAnsi" w:cstheme="minorHAnsi"/>
              </w:rPr>
              <w:t xml:space="preserve"> </w:t>
            </w:r>
            <w:hyperlink r:id="rId7" w:history="1">
              <w:r w:rsidR="00311B63" w:rsidRPr="00A130D3">
                <w:rPr>
                  <w:rStyle w:val="Hyperlink"/>
                  <w:rFonts w:asciiTheme="minorHAnsi" w:hAnsiTheme="minorHAnsi" w:cstheme="minorHAnsi"/>
                </w:rPr>
                <w:t>andrew.rogers@spx.co</w:t>
              </w:r>
              <w:r w:rsidR="00311B63" w:rsidRPr="00A130D3">
                <w:rPr>
                  <w:rStyle w:val="Hyperlink"/>
                  <w:rFonts w:asciiTheme="minorHAnsi" w:hAnsiTheme="minorHAnsi" w:cstheme="minorHAnsi"/>
                </w:rPr>
                <w:t>m</w:t>
              </w:r>
            </w:hyperlink>
          </w:p>
        </w:tc>
      </w:tr>
      <w:tr w:rsidR="0042739D" w:rsidRPr="00304BE7" w14:paraId="4DF2777E" w14:textId="77777777" w:rsidTr="00535A14">
        <w:trPr>
          <w:trHeight w:val="35"/>
        </w:trPr>
        <w:tc>
          <w:tcPr>
            <w:tcW w:w="5577" w:type="dxa"/>
          </w:tcPr>
          <w:p w14:paraId="3A4DC4E1" w14:textId="77777777" w:rsidR="0042739D" w:rsidRPr="00304BE7" w:rsidRDefault="0042739D" w:rsidP="00535A14">
            <w:pPr>
              <w:pStyle w:val="Normal1"/>
              <w:spacing w:before="240" w:after="0"/>
              <w:rPr>
                <w:rFonts w:ascii="Arial" w:hAnsi="Arial" w:cs="Arial"/>
              </w:rPr>
            </w:pPr>
          </w:p>
        </w:tc>
        <w:tc>
          <w:tcPr>
            <w:tcW w:w="5577" w:type="dxa"/>
          </w:tcPr>
          <w:p w14:paraId="5486AEF3" w14:textId="77777777" w:rsidR="0042739D" w:rsidRPr="00304BE7" w:rsidRDefault="0042739D" w:rsidP="006834BE">
            <w:pPr>
              <w:pStyle w:val="Normal1"/>
              <w:keepNext/>
              <w:spacing w:after="0"/>
              <w:rPr>
                <w:rFonts w:ascii="Arial" w:hAnsi="Arial" w:cs="Arial"/>
              </w:rPr>
            </w:pPr>
          </w:p>
        </w:tc>
      </w:tr>
    </w:tbl>
    <w:p w14:paraId="422E1621" w14:textId="77777777" w:rsidR="00A130D3" w:rsidRDefault="00A130D3" w:rsidP="00FC1B11">
      <w:pPr>
        <w:pStyle w:val="Normal1"/>
        <w:spacing w:before="120" w:after="240"/>
        <w:jc w:val="center"/>
        <w:rPr>
          <w:rFonts w:ascii="Calibri" w:hAnsi="Calibri" w:cs="Arial"/>
          <w:b/>
        </w:rPr>
      </w:pPr>
    </w:p>
    <w:p w14:paraId="157391A5" w14:textId="77777777" w:rsidR="00F76687" w:rsidRPr="00A1439A" w:rsidRDefault="00F76687" w:rsidP="00F76687">
      <w:pPr>
        <w:pStyle w:val="Normal1"/>
        <w:spacing w:before="120" w:after="240"/>
        <w:jc w:val="center"/>
        <w:rPr>
          <w:rFonts w:ascii="Calibri" w:hAnsi="Calibri" w:cs="Arial"/>
          <w:b/>
          <w:sz w:val="28"/>
          <w:szCs w:val="28"/>
        </w:rPr>
      </w:pPr>
      <w:r w:rsidRPr="00A1439A">
        <w:rPr>
          <w:rFonts w:ascii="Calibri" w:hAnsi="Calibri" w:cs="Arial"/>
          <w:b/>
          <w:sz w:val="28"/>
          <w:szCs w:val="28"/>
        </w:rPr>
        <w:t>SPX Cooling Introduces OlympusV</w:t>
      </w:r>
      <w:r>
        <w:rPr>
          <w:rFonts w:ascii="Calibri" w:hAnsi="Calibri" w:cs="Arial"/>
          <w:b/>
          <w:sz w:val="28"/>
          <w:szCs w:val="28"/>
        </w:rPr>
        <w:t>™</w:t>
      </w:r>
      <w:r w:rsidRPr="00A1439A">
        <w:rPr>
          <w:rFonts w:ascii="Calibri" w:hAnsi="Calibri" w:cs="Arial"/>
          <w:b/>
          <w:sz w:val="28"/>
          <w:szCs w:val="28"/>
        </w:rPr>
        <w:t xml:space="preserve">, a New Adiabatic </w:t>
      </w:r>
      <w:r w:rsidRPr="00A1439A">
        <w:rPr>
          <w:rFonts w:ascii="Calibri" w:hAnsi="Calibri" w:cs="Arial"/>
          <w:b/>
          <w:sz w:val="28"/>
          <w:szCs w:val="28"/>
        </w:rPr>
        <w:br/>
        <w:t>Cooling Series</w:t>
      </w:r>
      <w:r>
        <w:rPr>
          <w:rFonts w:ascii="Calibri" w:hAnsi="Calibri" w:cs="Arial"/>
          <w:b/>
          <w:sz w:val="28"/>
          <w:szCs w:val="28"/>
        </w:rPr>
        <w:t xml:space="preserve"> of Products</w:t>
      </w:r>
      <w:r>
        <w:rPr>
          <w:rFonts w:ascii="Calibri" w:hAnsi="Calibri" w:cs="Arial"/>
          <w:b/>
          <w:sz w:val="28"/>
          <w:szCs w:val="28"/>
        </w:rPr>
        <w:br/>
      </w:r>
    </w:p>
    <w:p w14:paraId="0DA736BE" w14:textId="77777777" w:rsidR="00F76687" w:rsidRDefault="00F76687" w:rsidP="00F76687">
      <w:pPr>
        <w:spacing w:after="0"/>
        <w:rPr>
          <w:rFonts w:asciiTheme="minorHAnsi" w:hAnsiTheme="minorHAnsi" w:cstheme="minorHAnsi"/>
        </w:rPr>
      </w:pPr>
      <w:r w:rsidRPr="00A82FE7">
        <w:rPr>
          <w:rFonts w:asciiTheme="minorHAnsi" w:hAnsiTheme="minorHAnsi" w:cstheme="minorHAnsi"/>
          <w:b/>
        </w:rPr>
        <w:t>Overland Park, Kan.</w:t>
      </w:r>
      <w:r>
        <w:rPr>
          <w:rFonts w:asciiTheme="minorHAnsi" w:hAnsiTheme="minorHAnsi" w:cstheme="minorHAnsi"/>
        </w:rPr>
        <w:t xml:space="preserve"> </w:t>
      </w:r>
      <w:r w:rsidRPr="00A82FE7">
        <w:rPr>
          <w:rFonts w:asciiTheme="minorHAnsi" w:hAnsiTheme="minorHAnsi" w:cstheme="minorHAnsi"/>
        </w:rPr>
        <w:t>–</w:t>
      </w:r>
      <w:r>
        <w:t xml:space="preserve"> </w:t>
      </w:r>
      <w:r>
        <w:rPr>
          <w:rFonts w:asciiTheme="minorHAnsi" w:hAnsiTheme="minorHAnsi" w:cstheme="minorHAnsi"/>
        </w:rPr>
        <w:t xml:space="preserve">SPX Cooling Tech, LLC, a </w:t>
      </w:r>
      <w:r w:rsidRPr="00A82FE7">
        <w:rPr>
          <w:rFonts w:asciiTheme="minorHAnsi" w:hAnsiTheme="minorHAnsi" w:cstheme="minorHAnsi"/>
        </w:rPr>
        <w:t>full-line, full-service industry leader in the design and manufacture of evaporative cooling towers</w:t>
      </w:r>
      <w:r>
        <w:rPr>
          <w:rFonts w:asciiTheme="minorHAnsi" w:hAnsiTheme="minorHAnsi" w:cstheme="minorHAnsi"/>
        </w:rPr>
        <w:t>, fluid coolers and more</w:t>
      </w:r>
      <w:r w:rsidRPr="00A82FE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has introduced OlympusV™ (pronounced </w:t>
      </w:r>
      <w:r w:rsidRPr="006B030E">
        <w:rPr>
          <w:rFonts w:asciiTheme="minorHAnsi" w:hAnsiTheme="minorHAnsi" w:cstheme="minorHAnsi"/>
          <w:i/>
          <w:iCs/>
        </w:rPr>
        <w:t>o</w:t>
      </w:r>
      <w:r>
        <w:rPr>
          <w:rFonts w:asciiTheme="minorHAnsi" w:hAnsiTheme="minorHAnsi" w:cstheme="minorHAnsi"/>
          <w:i/>
          <w:iCs/>
        </w:rPr>
        <w:t>-</w:t>
      </w:r>
      <w:proofErr w:type="spellStart"/>
      <w:r w:rsidRPr="006B030E">
        <w:rPr>
          <w:rFonts w:asciiTheme="minorHAnsi" w:hAnsiTheme="minorHAnsi" w:cstheme="minorHAnsi"/>
          <w:i/>
          <w:iCs/>
        </w:rPr>
        <w:t>lym</w:t>
      </w:r>
      <w:proofErr w:type="spellEnd"/>
      <w:r w:rsidRPr="006B030E">
        <w:rPr>
          <w:rFonts w:asciiTheme="minorHAnsi" w:hAnsiTheme="minorHAnsi" w:cstheme="minorHAnsi"/>
          <w:i/>
          <w:iCs/>
        </w:rPr>
        <w:t>-pus-vee</w:t>
      </w:r>
      <w:r>
        <w:rPr>
          <w:rFonts w:asciiTheme="minorHAnsi" w:hAnsiTheme="minorHAnsi" w:cstheme="minorHAnsi"/>
        </w:rPr>
        <w:t xml:space="preserve">) Adiabatic Systems, a series of adiabatic cooling products designed to provide a flexible cooling solution for operators and engineers of commercial refrigeration, industrial refrigeration, HVAC or industrial process systems.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 xml:space="preserve">The series consists of three products, each available in various sizes and coil type based on application. The products include </w:t>
      </w:r>
      <w:proofErr w:type="spellStart"/>
      <w:r>
        <w:rPr>
          <w:rFonts w:asciiTheme="minorHAnsi" w:hAnsiTheme="minorHAnsi" w:cstheme="minorHAnsi"/>
        </w:rPr>
        <w:t>Recold</w:t>
      </w:r>
      <w:proofErr w:type="spellEnd"/>
      <w:r>
        <w:rPr>
          <w:rFonts w:asciiTheme="minorHAnsi" w:hAnsiTheme="minorHAnsi" w:cstheme="minorHAnsi"/>
        </w:rPr>
        <w:t>® OlympusV CO</w:t>
      </w:r>
      <w:r w:rsidRPr="00766738">
        <w:rPr>
          <w:rFonts w:asciiTheme="minorHAnsi" w:hAnsiTheme="minorHAnsi" w:cstheme="minorHAnsi"/>
          <w:vertAlign w:val="subscript"/>
        </w:rPr>
        <w:t>2</w:t>
      </w:r>
      <w:r>
        <w:rPr>
          <w:rFonts w:asciiTheme="minorHAnsi" w:hAnsiTheme="minorHAnsi" w:cstheme="minorHAnsi"/>
        </w:rPr>
        <w:t xml:space="preserve"> Cooler, </w:t>
      </w:r>
      <w:proofErr w:type="spellStart"/>
      <w:r>
        <w:rPr>
          <w:rFonts w:asciiTheme="minorHAnsi" w:hAnsiTheme="minorHAnsi" w:cstheme="minorHAnsi"/>
        </w:rPr>
        <w:t>Recold</w:t>
      </w:r>
      <w:proofErr w:type="spellEnd"/>
      <w:r>
        <w:rPr>
          <w:rFonts w:asciiTheme="minorHAnsi" w:hAnsiTheme="minorHAnsi" w:cstheme="minorHAnsi"/>
        </w:rPr>
        <w:t xml:space="preserve"> OlympusV Condenser and Marley® OlympusV Fluid Cooler. </w:t>
      </w:r>
    </w:p>
    <w:p w14:paraId="62EBDBA8" w14:textId="77777777" w:rsidR="00F76687" w:rsidRDefault="00F76687" w:rsidP="00F76687">
      <w:pPr>
        <w:spacing w:after="0"/>
        <w:rPr>
          <w:rFonts w:asciiTheme="minorHAnsi" w:hAnsiTheme="minorHAnsi" w:cstheme="minorHAnsi"/>
        </w:rPr>
      </w:pPr>
    </w:p>
    <w:p w14:paraId="0D56A48F" w14:textId="77777777" w:rsidR="00F76687" w:rsidRDefault="00F76687" w:rsidP="00F7668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“OlympusV adiabatic cooling products balance the water-saving benefits of an air-cooled heat rejection system with the energy efficiency of a water-cooled solution to provide more flexible cooling,” explained Marshal Zabel, Senior Global Product Manager with SPX Cooling. “These products typically operate dry a majority of annual hours, limiting site water use to only those times when ambient temperatures and cooling loads are at their highest.” </w:t>
      </w:r>
    </w:p>
    <w:p w14:paraId="4FF3C456" w14:textId="77777777" w:rsidR="00F76687" w:rsidRDefault="00F76687" w:rsidP="00F76687">
      <w:pPr>
        <w:spacing w:after="0"/>
        <w:rPr>
          <w:rFonts w:asciiTheme="minorHAnsi" w:hAnsiTheme="minorHAnsi" w:cstheme="minorHAnsi"/>
        </w:rPr>
      </w:pPr>
    </w:p>
    <w:p w14:paraId="55BFEE88" w14:textId="77777777" w:rsidR="00F76687" w:rsidRDefault="00F76687" w:rsidP="00F7668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Each unit is delivered with user-friendly, smart controls allowing operators to adjust water and energy usage based on the needs of their unique operating conditions. The </w:t>
      </w:r>
      <w:proofErr w:type="spellStart"/>
      <w:r>
        <w:rPr>
          <w:rFonts w:asciiTheme="minorHAnsi" w:hAnsiTheme="minorHAnsi" w:cstheme="minorHAnsi"/>
        </w:rPr>
        <w:t>CoolBoost</w:t>
      </w:r>
      <w:proofErr w:type="spellEnd"/>
      <w:r>
        <w:rPr>
          <w:rFonts w:asciiTheme="minorHAnsi" w:hAnsiTheme="minorHAnsi" w:cstheme="minorHAnsi"/>
        </w:rPr>
        <w:t xml:space="preserve">™ Opti AD control panel allows operators to choose between Water Conservation Mode and Energy Conservation Mode, each of which prioritizes savings of the associated onsite resource during peak cooling loads. </w:t>
      </w:r>
    </w:p>
    <w:p w14:paraId="3F2EC8B3" w14:textId="77777777" w:rsidR="00F76687" w:rsidRDefault="00F76687" w:rsidP="00F76687">
      <w:pPr>
        <w:spacing w:after="0"/>
        <w:rPr>
          <w:rFonts w:asciiTheme="minorHAnsi" w:hAnsiTheme="minorHAnsi" w:cstheme="minorHAnsi"/>
        </w:rPr>
      </w:pPr>
    </w:p>
    <w:p w14:paraId="00D64715" w14:textId="77777777" w:rsidR="00F76687" w:rsidRDefault="00F76687" w:rsidP="00F7668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“These products can be effectively applied in a variety of conditions, even in hot and dry environments, because of their flexible operating modes,” added Zabel. “And they can help engineers and operators in a variety of markets, from grocery facilities to food processing to data center applications.” </w:t>
      </w:r>
    </w:p>
    <w:p w14:paraId="3771B21E" w14:textId="77777777" w:rsidR="00F76687" w:rsidRDefault="00F76687" w:rsidP="00F76687">
      <w:pPr>
        <w:spacing w:after="0"/>
        <w:rPr>
          <w:rFonts w:asciiTheme="minorHAnsi" w:hAnsiTheme="minorHAnsi" w:cstheme="minorHAnsi"/>
        </w:rPr>
      </w:pPr>
    </w:p>
    <w:p w14:paraId="1FCAF94D" w14:textId="77777777" w:rsidR="00F76687" w:rsidRDefault="00F76687" w:rsidP="00F7668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Other design features include e</w:t>
      </w:r>
      <w:r w:rsidRPr="0032749A">
        <w:rPr>
          <w:rFonts w:asciiTheme="minorHAnsi" w:hAnsiTheme="minorHAnsi" w:cstheme="minorHAnsi"/>
        </w:rPr>
        <w:t xml:space="preserve">lectronically </w:t>
      </w:r>
      <w:r>
        <w:rPr>
          <w:rFonts w:asciiTheme="minorHAnsi" w:hAnsiTheme="minorHAnsi" w:cstheme="minorHAnsi"/>
        </w:rPr>
        <w:t>c</w:t>
      </w:r>
      <w:r w:rsidRPr="0032749A">
        <w:rPr>
          <w:rFonts w:asciiTheme="minorHAnsi" w:hAnsiTheme="minorHAnsi" w:cstheme="minorHAnsi"/>
        </w:rPr>
        <w:t>ommutated</w:t>
      </w:r>
      <w:r>
        <w:rPr>
          <w:rFonts w:asciiTheme="minorHAnsi" w:hAnsiTheme="minorHAnsi" w:cstheme="minorHAnsi"/>
        </w:rPr>
        <w:t xml:space="preserve"> (EC) fans for reduced maintenance and sound, stainless steel coils for durable performance, and a unique recirculating water distribution system designed to help improve performance and reduce scale for extended adiabatic pad life. </w:t>
      </w:r>
    </w:p>
    <w:p w14:paraId="48CABA17" w14:textId="77777777" w:rsidR="00F76687" w:rsidRDefault="00F76687" w:rsidP="00F76687">
      <w:pPr>
        <w:spacing w:after="0"/>
        <w:rPr>
          <w:rFonts w:asciiTheme="minorHAnsi" w:hAnsiTheme="minorHAnsi" w:cstheme="minorHAnsi"/>
        </w:rPr>
      </w:pPr>
    </w:p>
    <w:p w14:paraId="2451EA43" w14:textId="77777777" w:rsidR="00F76687" w:rsidRDefault="00F76687" w:rsidP="00F7668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Customers interested in learning more about the OlympusV Adiabatic Series for their particular needs can get information at </w:t>
      </w:r>
      <w:hyperlink r:id="rId8" w:history="1">
        <w:r w:rsidRPr="00134DDC">
          <w:rPr>
            <w:rStyle w:val="Hyperlink"/>
            <w:rFonts w:asciiTheme="minorHAnsi" w:hAnsiTheme="minorHAnsi" w:cstheme="minorHAnsi"/>
          </w:rPr>
          <w:t>spxcooling.com/OlympusV</w:t>
        </w:r>
      </w:hyperlink>
      <w:r>
        <w:rPr>
          <w:rFonts w:asciiTheme="minorHAnsi" w:hAnsiTheme="minorHAnsi" w:cstheme="minorHAnsi"/>
        </w:rPr>
        <w:t xml:space="preserve">. For questions about the adiabatic series of products, or to get a quote, contact a nearby </w:t>
      </w:r>
      <w:hyperlink r:id="rId9" w:history="1">
        <w:r w:rsidRPr="005D156F">
          <w:rPr>
            <w:rStyle w:val="Hyperlink"/>
            <w:rFonts w:asciiTheme="minorHAnsi" w:hAnsiTheme="minorHAnsi" w:cstheme="minorHAnsi"/>
          </w:rPr>
          <w:t>SPX Cooling product representative</w:t>
        </w:r>
      </w:hyperlink>
      <w:r>
        <w:rPr>
          <w:rFonts w:asciiTheme="minorHAnsi" w:hAnsiTheme="minorHAnsi" w:cstheme="minorHAnsi"/>
        </w:rPr>
        <w:t xml:space="preserve">.  </w:t>
      </w:r>
    </w:p>
    <w:p w14:paraId="7594C103" w14:textId="77777777" w:rsidR="00F76687" w:rsidRDefault="00F76687" w:rsidP="00F76687">
      <w:pPr>
        <w:spacing w:after="0"/>
        <w:rPr>
          <w:rFonts w:asciiTheme="minorHAnsi" w:hAnsiTheme="minorHAnsi" w:cstheme="minorHAnsi"/>
        </w:rPr>
      </w:pPr>
    </w:p>
    <w:p w14:paraId="66BD8487" w14:textId="77777777" w:rsidR="00F76687" w:rsidRPr="00A82FE7" w:rsidRDefault="00F76687" w:rsidP="00F76687">
      <w:pPr>
        <w:spacing w:after="0"/>
        <w:rPr>
          <w:rFonts w:asciiTheme="minorHAnsi" w:hAnsiTheme="minorHAnsi" w:cstheme="minorHAnsi"/>
        </w:rPr>
      </w:pPr>
    </w:p>
    <w:p w14:paraId="0F921360" w14:textId="77777777" w:rsidR="00F76687" w:rsidRPr="00A82FE7" w:rsidRDefault="00F76687" w:rsidP="00F76687">
      <w:pPr>
        <w:pStyle w:val="Normal1"/>
        <w:jc w:val="center"/>
        <w:rPr>
          <w:rFonts w:asciiTheme="minorHAnsi" w:hAnsiTheme="minorHAnsi" w:cstheme="minorHAnsi"/>
        </w:rPr>
      </w:pPr>
      <w:r w:rsidRPr="00A82FE7">
        <w:rPr>
          <w:rFonts w:asciiTheme="minorHAnsi" w:hAnsiTheme="minorHAnsi" w:cstheme="minorHAnsi"/>
        </w:rPr>
        <w:t>###</w:t>
      </w:r>
      <w:r>
        <w:rPr>
          <w:rFonts w:asciiTheme="minorHAnsi" w:hAnsiTheme="minorHAnsi" w:cstheme="minorHAnsi"/>
        </w:rPr>
        <w:br/>
      </w:r>
    </w:p>
    <w:p w14:paraId="71FE05AA" w14:textId="77777777" w:rsidR="00F76687" w:rsidRPr="00B44598" w:rsidRDefault="00F76687" w:rsidP="00F76687">
      <w:pPr>
        <w:spacing w:before="100" w:beforeAutospacing="1"/>
        <w:rPr>
          <w:rFonts w:asciiTheme="minorHAnsi" w:hAnsiTheme="minorHAnsi" w:cstheme="minorHAnsi"/>
          <w:b/>
          <w:color w:val="auto"/>
        </w:rPr>
      </w:pPr>
      <w:r w:rsidRPr="00B44598">
        <w:rPr>
          <w:rFonts w:asciiTheme="minorHAnsi" w:hAnsiTheme="minorHAnsi" w:cstheme="minorHAnsi"/>
          <w:b/>
          <w:color w:val="auto"/>
        </w:rPr>
        <w:t>Abou</w:t>
      </w:r>
      <w:r>
        <w:rPr>
          <w:rFonts w:asciiTheme="minorHAnsi" w:hAnsiTheme="minorHAnsi" w:cstheme="minorHAnsi"/>
          <w:b/>
          <w:color w:val="auto"/>
        </w:rPr>
        <w:t>t SPX Cooling Tech, LLC</w:t>
      </w:r>
      <w:r w:rsidRPr="00B44598">
        <w:rPr>
          <w:rFonts w:asciiTheme="minorHAnsi" w:hAnsiTheme="minorHAnsi" w:cstheme="minorHAnsi"/>
          <w:b/>
          <w:color w:val="auto"/>
        </w:rPr>
        <w:t>:</w:t>
      </w:r>
    </w:p>
    <w:p w14:paraId="392C4903" w14:textId="77777777" w:rsidR="00F76687" w:rsidRDefault="00F76687" w:rsidP="00F76687">
      <w:pPr>
        <w:spacing w:before="100" w:beforeAutospacing="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SPX Cooling Tech</w:t>
      </w:r>
      <w:r w:rsidRPr="005025A1">
        <w:rPr>
          <w:rFonts w:asciiTheme="minorHAnsi" w:hAnsiTheme="minorHAnsi" w:cstheme="minorHAnsi"/>
          <w:color w:val="auto"/>
        </w:rPr>
        <w:t xml:space="preserve"> is a leading global manufacturer of cooling towers, fluid coolers, evaporative condensers</w:t>
      </w:r>
      <w:r>
        <w:rPr>
          <w:rFonts w:asciiTheme="minorHAnsi" w:hAnsiTheme="minorHAnsi" w:cstheme="minorHAnsi"/>
          <w:color w:val="auto"/>
        </w:rPr>
        <w:t>, industrial evaporators</w:t>
      </w:r>
      <w:r w:rsidRPr="005025A1">
        <w:rPr>
          <w:rFonts w:asciiTheme="minorHAnsi" w:hAnsiTheme="minorHAnsi" w:cstheme="minorHAnsi"/>
          <w:color w:val="auto"/>
        </w:rPr>
        <w:t xml:space="preserve"> and air-cooled heat exchangers</w:t>
      </w:r>
      <w:r>
        <w:rPr>
          <w:rFonts w:asciiTheme="minorHAnsi" w:hAnsiTheme="minorHAnsi" w:cstheme="minorHAnsi"/>
          <w:color w:val="auto"/>
        </w:rPr>
        <w:t xml:space="preserve"> from brands that include Marley®, </w:t>
      </w:r>
      <w:proofErr w:type="spellStart"/>
      <w:r>
        <w:rPr>
          <w:rFonts w:asciiTheme="minorHAnsi" w:hAnsiTheme="minorHAnsi" w:cstheme="minorHAnsi"/>
          <w:color w:val="auto"/>
        </w:rPr>
        <w:t>Recold</w:t>
      </w:r>
      <w:proofErr w:type="spellEnd"/>
      <w:r>
        <w:rPr>
          <w:rFonts w:asciiTheme="minorHAnsi" w:hAnsiTheme="minorHAnsi" w:cstheme="minorHAnsi"/>
          <w:color w:val="auto"/>
        </w:rPr>
        <w:t>® and SGS Refrigeration. Since 1922, our brands’ cooling systems and components,</w:t>
      </w:r>
      <w:r w:rsidRPr="005025A1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coupled with</w:t>
      </w:r>
      <w:r w:rsidRPr="005025A1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technical services, have supported applications in </w:t>
      </w:r>
      <w:r w:rsidRPr="005025A1">
        <w:rPr>
          <w:rFonts w:asciiTheme="minorHAnsi" w:hAnsiTheme="minorHAnsi" w:cstheme="minorHAnsi"/>
          <w:color w:val="auto"/>
        </w:rPr>
        <w:t>heating, ventilation and air conditioning (HVAC)</w:t>
      </w:r>
      <w:r>
        <w:rPr>
          <w:rFonts w:asciiTheme="minorHAnsi" w:hAnsiTheme="minorHAnsi" w:cstheme="minorHAnsi"/>
          <w:color w:val="auto"/>
        </w:rPr>
        <w:t>, refrigeration, and industrial process cooling. SPX Cooling Tech</w:t>
      </w:r>
      <w:r w:rsidRPr="005025A1">
        <w:rPr>
          <w:rFonts w:asciiTheme="minorHAnsi" w:hAnsiTheme="minorHAnsi" w:cstheme="minorHAnsi"/>
          <w:color w:val="auto"/>
        </w:rPr>
        <w:t xml:space="preserve"> and its product brands</w:t>
      </w:r>
      <w:r>
        <w:rPr>
          <w:rFonts w:asciiTheme="minorHAnsi" w:hAnsiTheme="minorHAnsi" w:cstheme="minorHAnsi"/>
          <w:color w:val="auto"/>
        </w:rPr>
        <w:t xml:space="preserve"> </w:t>
      </w:r>
      <w:r w:rsidRPr="005025A1">
        <w:rPr>
          <w:rFonts w:asciiTheme="minorHAnsi" w:hAnsiTheme="minorHAnsi" w:cstheme="minorHAnsi"/>
          <w:color w:val="auto"/>
        </w:rPr>
        <w:t xml:space="preserve">are part of SPX </w:t>
      </w:r>
      <w:r>
        <w:rPr>
          <w:rFonts w:asciiTheme="minorHAnsi" w:hAnsiTheme="minorHAnsi" w:cstheme="minorHAnsi"/>
          <w:color w:val="auto"/>
        </w:rPr>
        <w:t xml:space="preserve">Technologies, Inc. For more information see </w:t>
      </w:r>
      <w:hyperlink r:id="rId10" w:history="1">
        <w:r w:rsidRPr="00827548">
          <w:rPr>
            <w:rStyle w:val="Hyperlink"/>
            <w:rFonts w:asciiTheme="minorHAnsi" w:hAnsiTheme="minorHAnsi" w:cstheme="minorHAnsi"/>
          </w:rPr>
          <w:t>www.spxcooling.com</w:t>
        </w:r>
      </w:hyperlink>
      <w:r>
        <w:rPr>
          <w:rFonts w:asciiTheme="minorHAnsi" w:hAnsiTheme="minorHAnsi" w:cstheme="minorHAnsi"/>
          <w:color w:val="auto"/>
        </w:rPr>
        <w:t>.</w:t>
      </w:r>
    </w:p>
    <w:p w14:paraId="33B60F0B" w14:textId="3039B919" w:rsidR="001F5947" w:rsidRPr="009E6BD4" w:rsidRDefault="001F5947" w:rsidP="00C212C7">
      <w:pPr>
        <w:spacing w:before="100" w:beforeAutospacing="1"/>
        <w:rPr>
          <w:rFonts w:asciiTheme="minorHAnsi" w:hAnsiTheme="minorHAnsi" w:cstheme="minorHAnsi"/>
          <w:color w:val="auto"/>
        </w:rPr>
      </w:pPr>
    </w:p>
    <w:sectPr w:rsidR="001F5947" w:rsidRPr="009E6BD4" w:rsidSect="00FC1C10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68745" w14:textId="77777777" w:rsidR="00027F7D" w:rsidRDefault="00027F7D" w:rsidP="0042739D">
      <w:pPr>
        <w:spacing w:after="0"/>
      </w:pPr>
      <w:r>
        <w:separator/>
      </w:r>
    </w:p>
  </w:endnote>
  <w:endnote w:type="continuationSeparator" w:id="0">
    <w:p w14:paraId="2E425AD4" w14:textId="77777777" w:rsidR="00027F7D" w:rsidRDefault="00027F7D" w:rsidP="004273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66B7C" w14:textId="77777777" w:rsidR="00027F7D" w:rsidRDefault="00027F7D" w:rsidP="0042739D">
      <w:pPr>
        <w:spacing w:after="0"/>
      </w:pPr>
      <w:r>
        <w:separator/>
      </w:r>
    </w:p>
  </w:footnote>
  <w:footnote w:type="continuationSeparator" w:id="0">
    <w:p w14:paraId="52F631A6" w14:textId="77777777" w:rsidR="00027F7D" w:rsidRDefault="00027F7D" w:rsidP="004273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7C61" w14:textId="697F9C01" w:rsidR="00A130D3" w:rsidRDefault="00A130D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90AFCC" wp14:editId="69BB4A0A">
          <wp:simplePos x="0" y="0"/>
          <wp:positionH relativeFrom="margin">
            <wp:posOffset>4380230</wp:posOffset>
          </wp:positionH>
          <wp:positionV relativeFrom="margin">
            <wp:posOffset>-382728</wp:posOffset>
          </wp:positionV>
          <wp:extent cx="1818005" cy="807720"/>
          <wp:effectExtent l="0" t="0" r="0" b="0"/>
          <wp:wrapSquare wrapText="bothSides"/>
          <wp:docPr id="91497770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4977700" name="Picture 9149777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5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C3A"/>
    <w:rsid w:val="000021F6"/>
    <w:rsid w:val="000032FA"/>
    <w:rsid w:val="00020C9F"/>
    <w:rsid w:val="000219B1"/>
    <w:rsid w:val="000239C1"/>
    <w:rsid w:val="00027F7D"/>
    <w:rsid w:val="00036E77"/>
    <w:rsid w:val="00040E92"/>
    <w:rsid w:val="000418E6"/>
    <w:rsid w:val="00042514"/>
    <w:rsid w:val="00042F78"/>
    <w:rsid w:val="000437FC"/>
    <w:rsid w:val="00061753"/>
    <w:rsid w:val="00061DD4"/>
    <w:rsid w:val="0006582C"/>
    <w:rsid w:val="00082C38"/>
    <w:rsid w:val="000947FC"/>
    <w:rsid w:val="00095BE9"/>
    <w:rsid w:val="000A0F7A"/>
    <w:rsid w:val="000A44FF"/>
    <w:rsid w:val="000B4DCF"/>
    <w:rsid w:val="000D11F9"/>
    <w:rsid w:val="000D63B7"/>
    <w:rsid w:val="000E12FB"/>
    <w:rsid w:val="000F4E19"/>
    <w:rsid w:val="001007CE"/>
    <w:rsid w:val="0010295B"/>
    <w:rsid w:val="001100F7"/>
    <w:rsid w:val="0011263E"/>
    <w:rsid w:val="00114705"/>
    <w:rsid w:val="00116EF9"/>
    <w:rsid w:val="00121D73"/>
    <w:rsid w:val="00126059"/>
    <w:rsid w:val="00126329"/>
    <w:rsid w:val="001301B9"/>
    <w:rsid w:val="0014486D"/>
    <w:rsid w:val="00162177"/>
    <w:rsid w:val="00162557"/>
    <w:rsid w:val="00165131"/>
    <w:rsid w:val="001722E1"/>
    <w:rsid w:val="001742DF"/>
    <w:rsid w:val="00177B6F"/>
    <w:rsid w:val="0018066E"/>
    <w:rsid w:val="00182A20"/>
    <w:rsid w:val="00184C90"/>
    <w:rsid w:val="00186704"/>
    <w:rsid w:val="00186768"/>
    <w:rsid w:val="00187B29"/>
    <w:rsid w:val="001A1467"/>
    <w:rsid w:val="001A1798"/>
    <w:rsid w:val="001B362E"/>
    <w:rsid w:val="001B65BA"/>
    <w:rsid w:val="001D0AE9"/>
    <w:rsid w:val="001D2E1F"/>
    <w:rsid w:val="001D785B"/>
    <w:rsid w:val="001E0418"/>
    <w:rsid w:val="001E19D8"/>
    <w:rsid w:val="001F1FAA"/>
    <w:rsid w:val="001F5048"/>
    <w:rsid w:val="001F5947"/>
    <w:rsid w:val="00200319"/>
    <w:rsid w:val="002036EA"/>
    <w:rsid w:val="0022417A"/>
    <w:rsid w:val="00225481"/>
    <w:rsid w:val="0022680B"/>
    <w:rsid w:val="00226E56"/>
    <w:rsid w:val="00237D1D"/>
    <w:rsid w:val="00251D14"/>
    <w:rsid w:val="00255A85"/>
    <w:rsid w:val="00260B94"/>
    <w:rsid w:val="00262CF3"/>
    <w:rsid w:val="00266A24"/>
    <w:rsid w:val="00295F87"/>
    <w:rsid w:val="002A0148"/>
    <w:rsid w:val="002C6AC9"/>
    <w:rsid w:val="002D2002"/>
    <w:rsid w:val="002D4380"/>
    <w:rsid w:val="002D46DE"/>
    <w:rsid w:val="002D7B52"/>
    <w:rsid w:val="002E29E6"/>
    <w:rsid w:val="002E791C"/>
    <w:rsid w:val="002F31F8"/>
    <w:rsid w:val="00301C3A"/>
    <w:rsid w:val="00304BE7"/>
    <w:rsid w:val="00311B63"/>
    <w:rsid w:val="0033405C"/>
    <w:rsid w:val="0033670A"/>
    <w:rsid w:val="00342BE2"/>
    <w:rsid w:val="00345010"/>
    <w:rsid w:val="00361A73"/>
    <w:rsid w:val="00363C0F"/>
    <w:rsid w:val="00375CD2"/>
    <w:rsid w:val="003762DD"/>
    <w:rsid w:val="00385E03"/>
    <w:rsid w:val="00394739"/>
    <w:rsid w:val="003A27A5"/>
    <w:rsid w:val="003B2F38"/>
    <w:rsid w:val="003B3B21"/>
    <w:rsid w:val="003B60AC"/>
    <w:rsid w:val="003C5843"/>
    <w:rsid w:val="003C5A44"/>
    <w:rsid w:val="003D1A99"/>
    <w:rsid w:val="003D2988"/>
    <w:rsid w:val="003D42E5"/>
    <w:rsid w:val="003F4365"/>
    <w:rsid w:val="0040761E"/>
    <w:rsid w:val="00414131"/>
    <w:rsid w:val="00420358"/>
    <w:rsid w:val="0042739D"/>
    <w:rsid w:val="0044529C"/>
    <w:rsid w:val="00446143"/>
    <w:rsid w:val="0045264C"/>
    <w:rsid w:val="00453242"/>
    <w:rsid w:val="004553A6"/>
    <w:rsid w:val="004569C9"/>
    <w:rsid w:val="00491000"/>
    <w:rsid w:val="0049480D"/>
    <w:rsid w:val="00494F65"/>
    <w:rsid w:val="004C4E27"/>
    <w:rsid w:val="004D3DBE"/>
    <w:rsid w:val="004D6017"/>
    <w:rsid w:val="004F0583"/>
    <w:rsid w:val="004F1104"/>
    <w:rsid w:val="0050280F"/>
    <w:rsid w:val="00503280"/>
    <w:rsid w:val="00506411"/>
    <w:rsid w:val="00507709"/>
    <w:rsid w:val="0051470A"/>
    <w:rsid w:val="00515220"/>
    <w:rsid w:val="00535A14"/>
    <w:rsid w:val="00540C03"/>
    <w:rsid w:val="00572AB0"/>
    <w:rsid w:val="0057412B"/>
    <w:rsid w:val="00587C2D"/>
    <w:rsid w:val="00591F8B"/>
    <w:rsid w:val="005A6B16"/>
    <w:rsid w:val="005B5571"/>
    <w:rsid w:val="005D156F"/>
    <w:rsid w:val="005D21C9"/>
    <w:rsid w:val="005D71C3"/>
    <w:rsid w:val="005F4085"/>
    <w:rsid w:val="005F5A8D"/>
    <w:rsid w:val="00600696"/>
    <w:rsid w:val="00600DCD"/>
    <w:rsid w:val="0060767C"/>
    <w:rsid w:val="00615C7A"/>
    <w:rsid w:val="006169ED"/>
    <w:rsid w:val="00635083"/>
    <w:rsid w:val="006403E8"/>
    <w:rsid w:val="00644BA7"/>
    <w:rsid w:val="00647FE8"/>
    <w:rsid w:val="006555F2"/>
    <w:rsid w:val="00660501"/>
    <w:rsid w:val="00663DCC"/>
    <w:rsid w:val="00670ABA"/>
    <w:rsid w:val="00676F7B"/>
    <w:rsid w:val="006834BE"/>
    <w:rsid w:val="00687E5C"/>
    <w:rsid w:val="0069091A"/>
    <w:rsid w:val="006951AC"/>
    <w:rsid w:val="0069521A"/>
    <w:rsid w:val="006A125F"/>
    <w:rsid w:val="006A520A"/>
    <w:rsid w:val="006A7ABD"/>
    <w:rsid w:val="006C2F94"/>
    <w:rsid w:val="006C75A5"/>
    <w:rsid w:val="006F0414"/>
    <w:rsid w:val="006F2E4C"/>
    <w:rsid w:val="006F6214"/>
    <w:rsid w:val="00712859"/>
    <w:rsid w:val="00721E7A"/>
    <w:rsid w:val="00724658"/>
    <w:rsid w:val="00736C65"/>
    <w:rsid w:val="00737028"/>
    <w:rsid w:val="0075662B"/>
    <w:rsid w:val="00783E77"/>
    <w:rsid w:val="00786774"/>
    <w:rsid w:val="0079037B"/>
    <w:rsid w:val="00793F6F"/>
    <w:rsid w:val="007C6CF9"/>
    <w:rsid w:val="007E02C8"/>
    <w:rsid w:val="0080149A"/>
    <w:rsid w:val="00802593"/>
    <w:rsid w:val="008033BA"/>
    <w:rsid w:val="008202CF"/>
    <w:rsid w:val="008215A2"/>
    <w:rsid w:val="00830582"/>
    <w:rsid w:val="008355EE"/>
    <w:rsid w:val="0084493A"/>
    <w:rsid w:val="00851964"/>
    <w:rsid w:val="00860794"/>
    <w:rsid w:val="0086696C"/>
    <w:rsid w:val="008871D9"/>
    <w:rsid w:val="00891F2C"/>
    <w:rsid w:val="008A7188"/>
    <w:rsid w:val="008B0254"/>
    <w:rsid w:val="008B0B6D"/>
    <w:rsid w:val="008C53B0"/>
    <w:rsid w:val="008C74A1"/>
    <w:rsid w:val="008D75B4"/>
    <w:rsid w:val="008E0D41"/>
    <w:rsid w:val="008E1BD9"/>
    <w:rsid w:val="008E3B8F"/>
    <w:rsid w:val="00906C66"/>
    <w:rsid w:val="009077F9"/>
    <w:rsid w:val="00907B25"/>
    <w:rsid w:val="00917F95"/>
    <w:rsid w:val="009204ED"/>
    <w:rsid w:val="00931DB7"/>
    <w:rsid w:val="009366B2"/>
    <w:rsid w:val="00945575"/>
    <w:rsid w:val="00947D04"/>
    <w:rsid w:val="00956F62"/>
    <w:rsid w:val="00957F1D"/>
    <w:rsid w:val="009628CB"/>
    <w:rsid w:val="009822CF"/>
    <w:rsid w:val="009A1E9A"/>
    <w:rsid w:val="009A7F7B"/>
    <w:rsid w:val="009D1C4E"/>
    <w:rsid w:val="009D6FFE"/>
    <w:rsid w:val="009D7618"/>
    <w:rsid w:val="009E01CB"/>
    <w:rsid w:val="009E6BD4"/>
    <w:rsid w:val="009F3C08"/>
    <w:rsid w:val="00A0197E"/>
    <w:rsid w:val="00A10F20"/>
    <w:rsid w:val="00A130D3"/>
    <w:rsid w:val="00A1562B"/>
    <w:rsid w:val="00A15BE8"/>
    <w:rsid w:val="00A347CC"/>
    <w:rsid w:val="00A54757"/>
    <w:rsid w:val="00A61693"/>
    <w:rsid w:val="00A63343"/>
    <w:rsid w:val="00A641F8"/>
    <w:rsid w:val="00A70FA6"/>
    <w:rsid w:val="00A751E2"/>
    <w:rsid w:val="00A772AE"/>
    <w:rsid w:val="00A776A2"/>
    <w:rsid w:val="00A80C74"/>
    <w:rsid w:val="00A82FE7"/>
    <w:rsid w:val="00A96DC1"/>
    <w:rsid w:val="00AB28CB"/>
    <w:rsid w:val="00AC3A74"/>
    <w:rsid w:val="00AD0F7D"/>
    <w:rsid w:val="00AD2370"/>
    <w:rsid w:val="00AE0164"/>
    <w:rsid w:val="00AE5B53"/>
    <w:rsid w:val="00AF1446"/>
    <w:rsid w:val="00AF1628"/>
    <w:rsid w:val="00B01830"/>
    <w:rsid w:val="00B053D7"/>
    <w:rsid w:val="00B0644B"/>
    <w:rsid w:val="00B119FD"/>
    <w:rsid w:val="00B16717"/>
    <w:rsid w:val="00B27120"/>
    <w:rsid w:val="00B34B96"/>
    <w:rsid w:val="00B44598"/>
    <w:rsid w:val="00B4537F"/>
    <w:rsid w:val="00B666A9"/>
    <w:rsid w:val="00B666C6"/>
    <w:rsid w:val="00B7525F"/>
    <w:rsid w:val="00B754AD"/>
    <w:rsid w:val="00B76FE7"/>
    <w:rsid w:val="00B83943"/>
    <w:rsid w:val="00B9141E"/>
    <w:rsid w:val="00BA55D7"/>
    <w:rsid w:val="00BB3894"/>
    <w:rsid w:val="00BB5063"/>
    <w:rsid w:val="00BD06CC"/>
    <w:rsid w:val="00BE04D0"/>
    <w:rsid w:val="00BE3D38"/>
    <w:rsid w:val="00BF2147"/>
    <w:rsid w:val="00BF4AEB"/>
    <w:rsid w:val="00C00284"/>
    <w:rsid w:val="00C06EAF"/>
    <w:rsid w:val="00C212C7"/>
    <w:rsid w:val="00C3265F"/>
    <w:rsid w:val="00C66EDA"/>
    <w:rsid w:val="00C7422F"/>
    <w:rsid w:val="00C74B2F"/>
    <w:rsid w:val="00C767C7"/>
    <w:rsid w:val="00C8441A"/>
    <w:rsid w:val="00CA7F79"/>
    <w:rsid w:val="00CC2B50"/>
    <w:rsid w:val="00CC4E1D"/>
    <w:rsid w:val="00CD18F4"/>
    <w:rsid w:val="00CD71D9"/>
    <w:rsid w:val="00CE3AF2"/>
    <w:rsid w:val="00D01AB1"/>
    <w:rsid w:val="00D024B7"/>
    <w:rsid w:val="00D024BF"/>
    <w:rsid w:val="00D1044C"/>
    <w:rsid w:val="00D325EF"/>
    <w:rsid w:val="00D454B3"/>
    <w:rsid w:val="00D76673"/>
    <w:rsid w:val="00D769F2"/>
    <w:rsid w:val="00D90957"/>
    <w:rsid w:val="00DA0925"/>
    <w:rsid w:val="00DB3064"/>
    <w:rsid w:val="00DC3A23"/>
    <w:rsid w:val="00DC4561"/>
    <w:rsid w:val="00DC6C95"/>
    <w:rsid w:val="00DD0DD3"/>
    <w:rsid w:val="00DE1126"/>
    <w:rsid w:val="00E04A84"/>
    <w:rsid w:val="00E12580"/>
    <w:rsid w:val="00E3217A"/>
    <w:rsid w:val="00E34539"/>
    <w:rsid w:val="00E50502"/>
    <w:rsid w:val="00E57AE8"/>
    <w:rsid w:val="00E63B6F"/>
    <w:rsid w:val="00E70C31"/>
    <w:rsid w:val="00E73EEB"/>
    <w:rsid w:val="00E77AA1"/>
    <w:rsid w:val="00E86D07"/>
    <w:rsid w:val="00EA4C02"/>
    <w:rsid w:val="00EC16C1"/>
    <w:rsid w:val="00EC3457"/>
    <w:rsid w:val="00EE78FC"/>
    <w:rsid w:val="00EF065F"/>
    <w:rsid w:val="00EF3397"/>
    <w:rsid w:val="00EF7F85"/>
    <w:rsid w:val="00F01852"/>
    <w:rsid w:val="00F253F5"/>
    <w:rsid w:val="00F327F9"/>
    <w:rsid w:val="00F35E18"/>
    <w:rsid w:val="00F450D5"/>
    <w:rsid w:val="00F65A3C"/>
    <w:rsid w:val="00F67FA3"/>
    <w:rsid w:val="00F72F80"/>
    <w:rsid w:val="00F76687"/>
    <w:rsid w:val="00F902CA"/>
    <w:rsid w:val="00F92DF1"/>
    <w:rsid w:val="00FA561F"/>
    <w:rsid w:val="00FC1B11"/>
    <w:rsid w:val="00FC1C10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02463"/>
  <w15:docId w15:val="{628B37A7-62C0-4628-8711-AAA7CF67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C3A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01C3A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1C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739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739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739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739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739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119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E0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4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4AD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3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3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3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34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rsid w:val="00165131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4C4E27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82FE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20C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61DD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949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48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0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1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4022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5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6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56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9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xcooling.com/adiabatic-cooling-syste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rew.rogers@spx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pxcool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xcooling.com/rep-sear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B0CE65-CA53-44A4-8705-5052FBA7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SPX Corporation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Jacobson</dc:creator>
  <cp:lastModifiedBy>Rogers, Andrew</cp:lastModifiedBy>
  <cp:revision>2</cp:revision>
  <dcterms:created xsi:type="dcterms:W3CDTF">2024-01-19T20:30:00Z</dcterms:created>
  <dcterms:modified xsi:type="dcterms:W3CDTF">2024-01-19T20:30:00Z</dcterms:modified>
</cp:coreProperties>
</file>