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7AD1" w14:textId="77777777" w:rsidR="0042739D" w:rsidRPr="00304BE7" w:rsidRDefault="0042739D" w:rsidP="0042739D">
      <w:pPr>
        <w:pStyle w:val="Normal1"/>
        <w:spacing w:before="120" w:after="0"/>
        <w:rPr>
          <w:rFonts w:ascii="Arial" w:hAnsi="Arial" w:cs="Arial"/>
          <w:b/>
        </w:rPr>
      </w:pPr>
      <w:bookmarkStart w:id="0" w:name="_GoBack"/>
      <w:bookmarkEnd w:id="0"/>
    </w:p>
    <w:tbl>
      <w:tblPr>
        <w:tblW w:w="11154" w:type="dxa"/>
        <w:tblInd w:w="-460" w:type="dxa"/>
        <w:tblBorders>
          <w:insideH w:val="single" w:sz="18" w:space="0" w:color="FFFFFF"/>
          <w:insideV w:val="single" w:sz="18" w:space="0" w:color="FFFFFF"/>
        </w:tblBorders>
        <w:tblLayout w:type="fixed"/>
        <w:tblLook w:val="0420" w:firstRow="1" w:lastRow="0" w:firstColumn="0" w:lastColumn="0" w:noHBand="0" w:noVBand="1"/>
      </w:tblPr>
      <w:tblGrid>
        <w:gridCol w:w="5577"/>
        <w:gridCol w:w="5577"/>
      </w:tblGrid>
      <w:tr w:rsidR="00304BE7" w:rsidRPr="00304BE7" w14:paraId="0ECEF0B6" w14:textId="77777777" w:rsidTr="00535A14">
        <w:trPr>
          <w:trHeight w:val="481"/>
        </w:trPr>
        <w:tc>
          <w:tcPr>
            <w:tcW w:w="5577" w:type="dxa"/>
          </w:tcPr>
          <w:p w14:paraId="00116890" w14:textId="501EB9DA" w:rsidR="00304BE7" w:rsidRPr="00945575" w:rsidRDefault="00304BE7" w:rsidP="00304BE7">
            <w:pPr>
              <w:pStyle w:val="Normal1"/>
              <w:spacing w:before="240" w:after="0"/>
              <w:rPr>
                <w:rFonts w:asciiTheme="minorHAnsi" w:hAnsiTheme="minorHAnsi" w:cs="Arial"/>
                <w:b/>
              </w:rPr>
            </w:pPr>
            <w:r w:rsidRPr="00945575">
              <w:rPr>
                <w:rFonts w:asciiTheme="minorHAnsi" w:hAnsiTheme="minorHAnsi" w:cs="Arial"/>
                <w:b/>
              </w:rPr>
              <w:t xml:space="preserve">     FOR IMMEDIATE RELEASE</w:t>
            </w:r>
          </w:p>
        </w:tc>
        <w:tc>
          <w:tcPr>
            <w:tcW w:w="5577" w:type="dxa"/>
          </w:tcPr>
          <w:p w14:paraId="36E51E7A" w14:textId="1C7DF50E" w:rsidR="00304BE7" w:rsidRPr="00945575" w:rsidRDefault="00304BE7" w:rsidP="00304BE7">
            <w:pPr>
              <w:pStyle w:val="Normal1"/>
              <w:spacing w:before="240" w:after="0"/>
              <w:rPr>
                <w:rFonts w:asciiTheme="minorHAnsi" w:hAnsiTheme="minorHAnsi" w:cs="Arial"/>
              </w:rPr>
            </w:pPr>
            <w:r w:rsidRPr="00945575">
              <w:rPr>
                <w:rFonts w:asciiTheme="minorHAnsi" w:hAnsiTheme="minorHAnsi" w:cs="Arial"/>
              </w:rPr>
              <w:t xml:space="preserve">CONTACT:     </w:t>
            </w:r>
            <w:r w:rsidR="00945575">
              <w:rPr>
                <w:rFonts w:asciiTheme="minorHAnsi" w:hAnsiTheme="minorHAnsi" w:cs="Arial"/>
              </w:rPr>
              <w:t xml:space="preserve"> </w:t>
            </w:r>
            <w:r w:rsidR="00B0644B">
              <w:rPr>
                <w:rFonts w:asciiTheme="minorHAnsi" w:hAnsiTheme="minorHAnsi" w:cs="Arial"/>
              </w:rPr>
              <w:t>Andrew Rogers</w:t>
            </w:r>
          </w:p>
        </w:tc>
      </w:tr>
      <w:tr w:rsidR="00304BE7" w:rsidRPr="00304BE7" w14:paraId="4333EE67" w14:textId="77777777" w:rsidTr="00945575">
        <w:trPr>
          <w:trHeight w:val="35"/>
        </w:trPr>
        <w:tc>
          <w:tcPr>
            <w:tcW w:w="5577" w:type="dxa"/>
          </w:tcPr>
          <w:p w14:paraId="33F534AF" w14:textId="77777777" w:rsidR="00304BE7" w:rsidRPr="00945575" w:rsidRDefault="00304BE7" w:rsidP="00304BE7">
            <w:pPr>
              <w:pStyle w:val="Normal1"/>
              <w:spacing w:before="240" w:after="0"/>
              <w:rPr>
                <w:rFonts w:asciiTheme="minorHAnsi" w:hAnsiTheme="minorHAnsi" w:cs="Arial"/>
              </w:rPr>
            </w:pPr>
          </w:p>
        </w:tc>
        <w:tc>
          <w:tcPr>
            <w:tcW w:w="5577" w:type="dxa"/>
          </w:tcPr>
          <w:p w14:paraId="6224A509" w14:textId="64B5D7B5" w:rsidR="00304BE7" w:rsidRPr="00945575" w:rsidRDefault="008355EE" w:rsidP="008355EE">
            <w:pPr>
              <w:pStyle w:val="Normal1"/>
              <w:spacing w:after="0"/>
              <w:rPr>
                <w:rFonts w:asciiTheme="minorHAnsi" w:hAnsiTheme="minorHAnsi" w:cs="Arial"/>
              </w:rPr>
            </w:pPr>
            <w:r>
              <w:rPr>
                <w:rFonts w:asciiTheme="minorHAnsi" w:hAnsiTheme="minorHAnsi" w:cs="Arial"/>
              </w:rPr>
              <w:t xml:space="preserve">                         </w:t>
            </w:r>
            <w:r w:rsidR="004F1104">
              <w:rPr>
                <w:rFonts w:asciiTheme="minorHAnsi" w:hAnsiTheme="minorHAnsi" w:cs="Arial"/>
              </w:rPr>
              <w:t xml:space="preserve">(913) </w:t>
            </w:r>
            <w:r w:rsidR="00C66EDA">
              <w:rPr>
                <w:rFonts w:asciiTheme="minorHAnsi" w:hAnsiTheme="minorHAnsi" w:cs="Arial"/>
              </w:rPr>
              <w:t>203-2927</w:t>
            </w:r>
          </w:p>
          <w:p w14:paraId="32DC2994" w14:textId="72C68433" w:rsidR="00304BE7" w:rsidRPr="00945575" w:rsidRDefault="008355EE" w:rsidP="00304BE7">
            <w:pPr>
              <w:pStyle w:val="Normal1"/>
              <w:spacing w:after="0"/>
              <w:ind w:left="1339"/>
              <w:rPr>
                <w:rFonts w:asciiTheme="minorHAnsi" w:hAnsiTheme="minorHAnsi" w:cs="Arial"/>
              </w:rPr>
            </w:pPr>
            <w:r>
              <w:rPr>
                <w:rFonts w:asciiTheme="minorHAnsi" w:hAnsiTheme="minorHAnsi" w:cs="Arial"/>
              </w:rPr>
              <w:t xml:space="preserve"> </w:t>
            </w:r>
            <w:hyperlink r:id="rId7" w:history="1">
              <w:r w:rsidR="00311B63" w:rsidRPr="009B1420">
                <w:rPr>
                  <w:rStyle w:val="Hyperlink"/>
                  <w:rFonts w:asciiTheme="minorHAnsi" w:hAnsiTheme="minorHAnsi" w:cs="Arial"/>
                </w:rPr>
                <w:t>andrew.rogers@spx.com</w:t>
              </w:r>
            </w:hyperlink>
          </w:p>
        </w:tc>
      </w:tr>
      <w:tr w:rsidR="0042739D" w:rsidRPr="00304BE7" w14:paraId="4DF2777E" w14:textId="77777777" w:rsidTr="00535A14">
        <w:trPr>
          <w:trHeight w:val="35"/>
        </w:trPr>
        <w:tc>
          <w:tcPr>
            <w:tcW w:w="5577" w:type="dxa"/>
          </w:tcPr>
          <w:p w14:paraId="3A4DC4E1" w14:textId="77777777" w:rsidR="0042739D" w:rsidRPr="00304BE7" w:rsidRDefault="0042739D" w:rsidP="00535A14">
            <w:pPr>
              <w:pStyle w:val="Normal1"/>
              <w:spacing w:before="240" w:after="0"/>
              <w:rPr>
                <w:rFonts w:ascii="Arial" w:hAnsi="Arial" w:cs="Arial"/>
              </w:rPr>
            </w:pPr>
          </w:p>
        </w:tc>
        <w:tc>
          <w:tcPr>
            <w:tcW w:w="5577" w:type="dxa"/>
          </w:tcPr>
          <w:p w14:paraId="5486AEF3" w14:textId="77777777" w:rsidR="0042739D" w:rsidRPr="00304BE7" w:rsidRDefault="0042739D" w:rsidP="006834BE">
            <w:pPr>
              <w:pStyle w:val="Normal1"/>
              <w:keepNext/>
              <w:spacing w:after="0"/>
              <w:rPr>
                <w:rFonts w:ascii="Arial" w:hAnsi="Arial" w:cs="Arial"/>
              </w:rPr>
            </w:pPr>
          </w:p>
        </w:tc>
      </w:tr>
    </w:tbl>
    <w:p w14:paraId="4A48C136" w14:textId="28B25DD9" w:rsidR="00C00284" w:rsidRPr="00945575" w:rsidRDefault="00663DCC" w:rsidP="008033BA">
      <w:pPr>
        <w:pStyle w:val="Normal1"/>
        <w:spacing w:before="120" w:after="240"/>
        <w:jc w:val="center"/>
        <w:rPr>
          <w:rFonts w:ascii="Calibri" w:hAnsi="Calibri" w:cs="Arial"/>
          <w:b/>
        </w:rPr>
      </w:pPr>
      <w:r w:rsidRPr="00945575">
        <w:rPr>
          <w:rFonts w:ascii="Calibri" w:hAnsi="Calibri" w:cs="Arial"/>
          <w:b/>
        </w:rPr>
        <w:t xml:space="preserve">SPX </w:t>
      </w:r>
      <w:r w:rsidR="00C00284">
        <w:rPr>
          <w:rFonts w:ascii="Calibri" w:hAnsi="Calibri" w:cs="Arial"/>
          <w:b/>
        </w:rPr>
        <w:t>Cooling</w:t>
      </w:r>
      <w:r w:rsidR="0022417A">
        <w:rPr>
          <w:rFonts w:ascii="Calibri" w:hAnsi="Calibri" w:cs="Arial"/>
          <w:b/>
        </w:rPr>
        <w:t xml:space="preserve"> </w:t>
      </w:r>
      <w:r w:rsidR="008033BA">
        <w:rPr>
          <w:rFonts w:ascii="Calibri" w:hAnsi="Calibri" w:cs="Arial"/>
          <w:b/>
        </w:rPr>
        <w:t xml:space="preserve">Introduces </w:t>
      </w:r>
      <w:r w:rsidR="00907B25">
        <w:rPr>
          <w:rFonts w:ascii="Calibri" w:hAnsi="Calibri" w:cs="Arial"/>
          <w:b/>
        </w:rPr>
        <w:t>Water-Saving,</w:t>
      </w:r>
      <w:r w:rsidR="008033BA">
        <w:rPr>
          <w:rFonts w:ascii="Calibri" w:hAnsi="Calibri" w:cs="Arial"/>
          <w:b/>
        </w:rPr>
        <w:t xml:space="preserve"> </w:t>
      </w:r>
      <w:r w:rsidR="00907B25">
        <w:rPr>
          <w:rFonts w:ascii="Calibri" w:hAnsi="Calibri" w:cs="Arial"/>
          <w:b/>
        </w:rPr>
        <w:t xml:space="preserve">Optimizer </w:t>
      </w:r>
      <w:r w:rsidR="008033BA">
        <w:rPr>
          <w:rFonts w:ascii="Calibri" w:hAnsi="Calibri" w:cs="Arial"/>
          <w:b/>
        </w:rPr>
        <w:t>System</w:t>
      </w:r>
      <w:r w:rsidR="008033BA">
        <w:rPr>
          <w:rFonts w:ascii="Calibri" w:hAnsi="Calibri" w:cs="Arial"/>
          <w:b/>
        </w:rPr>
        <w:br/>
        <w:t xml:space="preserve"> Marley® WaterGard™ at 2023 AHR Expo</w:t>
      </w:r>
    </w:p>
    <w:p w14:paraId="1DEBF04B" w14:textId="326933BF" w:rsidR="000239C1" w:rsidRDefault="00301C3A" w:rsidP="000239C1">
      <w:pPr>
        <w:spacing w:after="0"/>
        <w:rPr>
          <w:rFonts w:asciiTheme="minorHAnsi" w:hAnsiTheme="minorHAnsi" w:cstheme="minorHAnsi"/>
        </w:rPr>
      </w:pPr>
      <w:r w:rsidRPr="00A82FE7">
        <w:rPr>
          <w:rFonts w:asciiTheme="minorHAnsi" w:hAnsiTheme="minorHAnsi" w:cstheme="minorHAnsi"/>
          <w:b/>
        </w:rPr>
        <w:t>Overland Park, K</w:t>
      </w:r>
      <w:r w:rsidR="006A520A" w:rsidRPr="00A82FE7">
        <w:rPr>
          <w:rFonts w:asciiTheme="minorHAnsi" w:hAnsiTheme="minorHAnsi" w:cstheme="minorHAnsi"/>
          <w:b/>
        </w:rPr>
        <w:t>an.</w:t>
      </w:r>
      <w:r w:rsidR="00AE5B53">
        <w:rPr>
          <w:rFonts w:asciiTheme="minorHAnsi" w:hAnsiTheme="minorHAnsi" w:cstheme="minorHAnsi"/>
        </w:rPr>
        <w:t xml:space="preserve"> </w:t>
      </w:r>
      <w:r w:rsidRPr="00A82FE7">
        <w:rPr>
          <w:rFonts w:asciiTheme="minorHAnsi" w:hAnsiTheme="minorHAnsi" w:cstheme="minorHAnsi"/>
        </w:rPr>
        <w:t>–</w:t>
      </w:r>
      <w:r w:rsidR="0022417A">
        <w:t xml:space="preserve"> </w:t>
      </w:r>
      <w:r w:rsidR="0022417A">
        <w:rPr>
          <w:rFonts w:asciiTheme="minorHAnsi" w:hAnsiTheme="minorHAnsi" w:cstheme="minorHAnsi"/>
        </w:rPr>
        <w:t xml:space="preserve">SPX Cooling Tech, LLC, a </w:t>
      </w:r>
      <w:r w:rsidR="001E0418" w:rsidRPr="00A82FE7">
        <w:rPr>
          <w:rFonts w:asciiTheme="minorHAnsi" w:hAnsiTheme="minorHAnsi" w:cstheme="minorHAnsi"/>
        </w:rPr>
        <w:t xml:space="preserve">full-line, </w:t>
      </w:r>
      <w:r w:rsidRPr="00A82FE7">
        <w:rPr>
          <w:rFonts w:asciiTheme="minorHAnsi" w:hAnsiTheme="minorHAnsi" w:cstheme="minorHAnsi"/>
        </w:rPr>
        <w:t xml:space="preserve">full-service industry leader in the design and manufacture of </w:t>
      </w:r>
      <w:r w:rsidR="001D0AE9" w:rsidRPr="00A82FE7">
        <w:rPr>
          <w:rFonts w:asciiTheme="minorHAnsi" w:hAnsiTheme="minorHAnsi" w:cstheme="minorHAnsi"/>
        </w:rPr>
        <w:t>evaporative</w:t>
      </w:r>
      <w:r w:rsidRPr="00A82FE7">
        <w:rPr>
          <w:rFonts w:asciiTheme="minorHAnsi" w:hAnsiTheme="minorHAnsi" w:cstheme="minorHAnsi"/>
        </w:rPr>
        <w:t xml:space="preserve"> </w:t>
      </w:r>
      <w:r w:rsidR="00162177" w:rsidRPr="00A82FE7">
        <w:rPr>
          <w:rFonts w:asciiTheme="minorHAnsi" w:hAnsiTheme="minorHAnsi" w:cstheme="minorHAnsi"/>
        </w:rPr>
        <w:t xml:space="preserve">cooling towers </w:t>
      </w:r>
      <w:r w:rsidRPr="00A82FE7">
        <w:rPr>
          <w:rFonts w:asciiTheme="minorHAnsi" w:hAnsiTheme="minorHAnsi" w:cstheme="minorHAnsi"/>
        </w:rPr>
        <w:t xml:space="preserve">and air-cooled heat exchangers, </w:t>
      </w:r>
      <w:r w:rsidR="0022417A">
        <w:rPr>
          <w:rFonts w:asciiTheme="minorHAnsi" w:hAnsiTheme="minorHAnsi" w:cstheme="minorHAnsi"/>
        </w:rPr>
        <w:t xml:space="preserve">has introduced the </w:t>
      </w:r>
      <w:r w:rsidR="00D76673">
        <w:rPr>
          <w:rFonts w:asciiTheme="minorHAnsi" w:hAnsiTheme="minorHAnsi" w:cstheme="minorHAnsi"/>
        </w:rPr>
        <w:t xml:space="preserve">Marley® </w:t>
      </w:r>
      <w:r w:rsidR="000239C1">
        <w:rPr>
          <w:rFonts w:asciiTheme="minorHAnsi" w:hAnsiTheme="minorHAnsi" w:cstheme="minorHAnsi"/>
        </w:rPr>
        <w:t xml:space="preserve">WaterGard™, a </w:t>
      </w:r>
      <w:r w:rsidR="00907B25">
        <w:rPr>
          <w:rFonts w:asciiTheme="minorHAnsi" w:hAnsiTheme="minorHAnsi" w:cstheme="minorHAnsi"/>
        </w:rPr>
        <w:t>water usage</w:t>
      </w:r>
      <w:r w:rsidR="000239C1">
        <w:rPr>
          <w:rFonts w:asciiTheme="minorHAnsi" w:hAnsiTheme="minorHAnsi" w:cstheme="minorHAnsi"/>
        </w:rPr>
        <w:t xml:space="preserve"> optimizer and filt</w:t>
      </w:r>
      <w:r w:rsidR="00931DB7">
        <w:rPr>
          <w:rFonts w:asciiTheme="minorHAnsi" w:hAnsiTheme="minorHAnsi" w:cstheme="minorHAnsi"/>
        </w:rPr>
        <w:t xml:space="preserve">ration </w:t>
      </w:r>
      <w:r w:rsidR="000239C1">
        <w:rPr>
          <w:rFonts w:asciiTheme="minorHAnsi" w:hAnsiTheme="minorHAnsi" w:cstheme="minorHAnsi"/>
        </w:rPr>
        <w:t xml:space="preserve">system that helps reduce </w:t>
      </w:r>
      <w:r w:rsidR="00786774">
        <w:rPr>
          <w:rFonts w:asciiTheme="minorHAnsi" w:hAnsiTheme="minorHAnsi" w:cstheme="minorHAnsi"/>
        </w:rPr>
        <w:t xml:space="preserve">wastewater and overall </w:t>
      </w:r>
      <w:r w:rsidR="000239C1">
        <w:rPr>
          <w:rFonts w:asciiTheme="minorHAnsi" w:hAnsiTheme="minorHAnsi" w:cstheme="minorHAnsi"/>
        </w:rPr>
        <w:t>water usage on packaged evaporative cooling p</w:t>
      </w:r>
      <w:r w:rsidR="003F4365">
        <w:rPr>
          <w:rFonts w:asciiTheme="minorHAnsi" w:hAnsiTheme="minorHAnsi" w:cstheme="minorHAnsi"/>
        </w:rPr>
        <w:t xml:space="preserve">roducts. WaterGard uses membrane </w:t>
      </w:r>
      <w:r w:rsidR="000239C1">
        <w:rPr>
          <w:rFonts w:asciiTheme="minorHAnsi" w:hAnsiTheme="minorHAnsi" w:cstheme="minorHAnsi"/>
        </w:rPr>
        <w:t xml:space="preserve">technology to pre-condition cooling tower water and </w:t>
      </w:r>
      <w:r w:rsidR="0086696C">
        <w:rPr>
          <w:rFonts w:asciiTheme="minorHAnsi" w:hAnsiTheme="minorHAnsi" w:cstheme="minorHAnsi"/>
        </w:rPr>
        <w:t xml:space="preserve">limits </w:t>
      </w:r>
      <w:r w:rsidR="000239C1">
        <w:rPr>
          <w:rFonts w:asciiTheme="minorHAnsi" w:hAnsiTheme="minorHAnsi" w:cstheme="minorHAnsi"/>
        </w:rPr>
        <w:t>salt (i.e. chlorides, calcium carbonate)</w:t>
      </w:r>
      <w:r w:rsidR="0086696C">
        <w:rPr>
          <w:rFonts w:asciiTheme="minorHAnsi" w:hAnsiTheme="minorHAnsi" w:cstheme="minorHAnsi"/>
        </w:rPr>
        <w:t xml:space="preserve"> </w:t>
      </w:r>
      <w:r w:rsidR="000239C1">
        <w:rPr>
          <w:rFonts w:asciiTheme="minorHAnsi" w:hAnsiTheme="minorHAnsi" w:cstheme="minorHAnsi"/>
        </w:rPr>
        <w:t>introduction into the tower</w:t>
      </w:r>
      <w:r w:rsidR="00042F78">
        <w:rPr>
          <w:rFonts w:asciiTheme="minorHAnsi" w:hAnsiTheme="minorHAnsi" w:cstheme="minorHAnsi"/>
        </w:rPr>
        <w:t xml:space="preserve">, </w:t>
      </w:r>
      <w:r w:rsidR="000239C1">
        <w:rPr>
          <w:rFonts w:asciiTheme="minorHAnsi" w:hAnsiTheme="minorHAnsi" w:cstheme="minorHAnsi"/>
        </w:rPr>
        <w:t>therefore reduc</w:t>
      </w:r>
      <w:r w:rsidR="00042F78">
        <w:rPr>
          <w:rFonts w:asciiTheme="minorHAnsi" w:hAnsiTheme="minorHAnsi" w:cstheme="minorHAnsi"/>
        </w:rPr>
        <w:t>ing</w:t>
      </w:r>
      <w:r w:rsidR="000239C1">
        <w:rPr>
          <w:rFonts w:asciiTheme="minorHAnsi" w:hAnsiTheme="minorHAnsi" w:cstheme="minorHAnsi"/>
        </w:rPr>
        <w:t xml:space="preserve"> </w:t>
      </w:r>
      <w:r w:rsidR="00931DB7">
        <w:rPr>
          <w:rFonts w:asciiTheme="minorHAnsi" w:hAnsiTheme="minorHAnsi" w:cstheme="minorHAnsi"/>
        </w:rPr>
        <w:t xml:space="preserve">necessary </w:t>
      </w:r>
      <w:r w:rsidR="000239C1">
        <w:rPr>
          <w:rFonts w:asciiTheme="minorHAnsi" w:hAnsiTheme="minorHAnsi" w:cstheme="minorHAnsi"/>
        </w:rPr>
        <w:t xml:space="preserve">blowdown (outgoing) water. </w:t>
      </w:r>
    </w:p>
    <w:p w14:paraId="42188E19" w14:textId="77777777" w:rsidR="000239C1" w:rsidRDefault="000239C1" w:rsidP="000239C1">
      <w:pPr>
        <w:spacing w:after="0"/>
        <w:rPr>
          <w:rFonts w:asciiTheme="minorHAnsi" w:hAnsiTheme="minorHAnsi" w:cstheme="minorHAnsi"/>
        </w:rPr>
      </w:pPr>
    </w:p>
    <w:p w14:paraId="246529DB" w14:textId="2811F577" w:rsidR="000239C1" w:rsidRDefault="000239C1" w:rsidP="000239C1">
      <w:pPr>
        <w:spacing w:after="0"/>
        <w:rPr>
          <w:rFonts w:asciiTheme="minorHAnsi" w:hAnsiTheme="minorHAnsi" w:cstheme="minorHAnsi"/>
        </w:rPr>
      </w:pPr>
      <w:r>
        <w:rPr>
          <w:rFonts w:asciiTheme="minorHAnsi" w:hAnsiTheme="minorHAnsi" w:cstheme="minorHAnsi"/>
        </w:rPr>
        <w:t>“</w:t>
      </w:r>
      <w:r w:rsidR="000A0F7A">
        <w:rPr>
          <w:rFonts w:asciiTheme="minorHAnsi" w:hAnsiTheme="minorHAnsi" w:cstheme="minorHAnsi"/>
        </w:rPr>
        <w:t xml:space="preserve">Based on our models, </w:t>
      </w:r>
      <w:r>
        <w:rPr>
          <w:rFonts w:asciiTheme="minorHAnsi" w:hAnsiTheme="minorHAnsi" w:cstheme="minorHAnsi"/>
        </w:rPr>
        <w:t xml:space="preserve">WaterGard could help reduce water usage up to </w:t>
      </w:r>
      <w:r w:rsidR="000A0F7A">
        <w:rPr>
          <w:rFonts w:asciiTheme="minorHAnsi" w:hAnsiTheme="minorHAnsi" w:cstheme="minorHAnsi"/>
        </w:rPr>
        <w:t>59</w:t>
      </w:r>
      <w:r>
        <w:rPr>
          <w:rFonts w:asciiTheme="minorHAnsi" w:hAnsiTheme="minorHAnsi" w:cstheme="minorHAnsi"/>
        </w:rPr>
        <w:t xml:space="preserve"> percent for some locations, and redu</w:t>
      </w:r>
      <w:r w:rsidR="000A0F7A">
        <w:rPr>
          <w:rFonts w:asciiTheme="minorHAnsi" w:hAnsiTheme="minorHAnsi" w:cstheme="minorHAnsi"/>
        </w:rPr>
        <w:t>ce wastewater discharge up to 88</w:t>
      </w:r>
      <w:r>
        <w:rPr>
          <w:rFonts w:asciiTheme="minorHAnsi" w:hAnsiTheme="minorHAnsi" w:cstheme="minorHAnsi"/>
        </w:rPr>
        <w:t xml:space="preserve"> </w:t>
      </w:r>
      <w:r w:rsidR="005D156F">
        <w:rPr>
          <w:rFonts w:asciiTheme="minorHAnsi" w:hAnsiTheme="minorHAnsi" w:cstheme="minorHAnsi"/>
        </w:rPr>
        <w:t>percent,” explained SPX Cooling</w:t>
      </w:r>
      <w:r>
        <w:rPr>
          <w:rFonts w:asciiTheme="minorHAnsi" w:hAnsiTheme="minorHAnsi" w:cstheme="minorHAnsi"/>
        </w:rPr>
        <w:t xml:space="preserve">‘s Senior Global Product Manager, Marshal Zabel. “Some areas could see payback with this product in as little as three years, or even faster in locations with high-hardness source water.” </w:t>
      </w:r>
    </w:p>
    <w:p w14:paraId="265DF96C" w14:textId="7E36656B" w:rsidR="000239C1" w:rsidRDefault="000239C1" w:rsidP="000239C1">
      <w:pPr>
        <w:spacing w:after="0"/>
        <w:rPr>
          <w:rFonts w:asciiTheme="minorHAnsi" w:hAnsiTheme="minorHAnsi" w:cstheme="minorHAnsi"/>
        </w:rPr>
      </w:pPr>
    </w:p>
    <w:p w14:paraId="07DDBB20" w14:textId="156A12CF" w:rsidR="000239C1" w:rsidRDefault="00931DB7" w:rsidP="000239C1">
      <w:pPr>
        <w:spacing w:after="0"/>
        <w:rPr>
          <w:rFonts w:asciiTheme="minorHAnsi" w:hAnsiTheme="minorHAnsi" w:cstheme="minorHAnsi"/>
        </w:rPr>
      </w:pPr>
      <w:r>
        <w:rPr>
          <w:rFonts w:asciiTheme="minorHAnsi" w:hAnsiTheme="minorHAnsi" w:cstheme="minorHAnsi"/>
        </w:rPr>
        <w:t>The salt concentration of makeup</w:t>
      </w:r>
      <w:r w:rsidR="003F4365">
        <w:rPr>
          <w:rFonts w:asciiTheme="minorHAnsi" w:hAnsiTheme="minorHAnsi" w:cstheme="minorHAnsi"/>
        </w:rPr>
        <w:t xml:space="preserve"> (supply</w:t>
      </w:r>
      <w:r w:rsidR="00907B25">
        <w:rPr>
          <w:rFonts w:asciiTheme="minorHAnsi" w:hAnsiTheme="minorHAnsi" w:cstheme="minorHAnsi"/>
        </w:rPr>
        <w:t>)</w:t>
      </w:r>
      <w:r>
        <w:rPr>
          <w:rFonts w:asciiTheme="minorHAnsi" w:hAnsiTheme="minorHAnsi" w:cstheme="minorHAnsi"/>
        </w:rPr>
        <w:t xml:space="preserve"> water typically controls how much water needs to be blown down, or drained from the system, to limit corrosion and scale tendencies of the cooling water. Reducing this concentration with WaterGard allows safe cooling tower system operation at higher </w:t>
      </w:r>
      <w:r w:rsidR="0086696C">
        <w:rPr>
          <w:rFonts w:asciiTheme="minorHAnsi" w:hAnsiTheme="minorHAnsi" w:cstheme="minorHAnsi"/>
        </w:rPr>
        <w:t>c</w:t>
      </w:r>
      <w:r>
        <w:rPr>
          <w:rFonts w:asciiTheme="minorHAnsi" w:hAnsiTheme="minorHAnsi" w:cstheme="minorHAnsi"/>
        </w:rPr>
        <w:t xml:space="preserve">ycles of concentration (less blowdown). </w:t>
      </w:r>
    </w:p>
    <w:p w14:paraId="102B5E61" w14:textId="6AD0640F" w:rsidR="000239C1" w:rsidRDefault="000239C1" w:rsidP="000239C1">
      <w:pPr>
        <w:spacing w:after="0"/>
        <w:rPr>
          <w:rFonts w:asciiTheme="minorHAnsi" w:hAnsiTheme="minorHAnsi" w:cstheme="minorHAnsi"/>
        </w:rPr>
      </w:pPr>
    </w:p>
    <w:p w14:paraId="6EE5EF52" w14:textId="13B83FF9" w:rsidR="00931DB7" w:rsidRDefault="003F4365" w:rsidP="000239C1">
      <w:pPr>
        <w:spacing w:after="0"/>
        <w:rPr>
          <w:rFonts w:asciiTheme="minorHAnsi" w:hAnsiTheme="minorHAnsi" w:cstheme="minorHAnsi"/>
        </w:rPr>
      </w:pPr>
      <w:r>
        <w:rPr>
          <w:rFonts w:asciiTheme="minorHAnsi" w:hAnsiTheme="minorHAnsi" w:cstheme="minorHAnsi"/>
        </w:rPr>
        <w:t>WaterGard is available in</w:t>
      </w:r>
      <w:r w:rsidR="00931DB7">
        <w:rPr>
          <w:rFonts w:asciiTheme="minorHAnsi" w:hAnsiTheme="minorHAnsi" w:cstheme="minorHAnsi"/>
        </w:rPr>
        <w:t xml:space="preserve"> North American markets and offered in a variety of sizes based on the capacity of the cooling towers. </w:t>
      </w:r>
      <w:r w:rsidR="008033BA">
        <w:rPr>
          <w:rFonts w:asciiTheme="minorHAnsi" w:hAnsiTheme="minorHAnsi" w:cstheme="minorHAnsi"/>
        </w:rPr>
        <w:t xml:space="preserve">Features include an integral pump, bypass function and an optional carbon system for chlorine filtration. </w:t>
      </w:r>
      <w:r w:rsidR="00931DB7">
        <w:rPr>
          <w:rFonts w:asciiTheme="minorHAnsi" w:hAnsiTheme="minorHAnsi" w:cstheme="minorHAnsi"/>
        </w:rPr>
        <w:t>Plus, WaterGard is designed fo</w:t>
      </w:r>
      <w:r>
        <w:rPr>
          <w:rFonts w:asciiTheme="minorHAnsi" w:hAnsiTheme="minorHAnsi" w:cstheme="minorHAnsi"/>
        </w:rPr>
        <w:t xml:space="preserve">r easy maintenance and filter replacement at regular service intervals. </w:t>
      </w:r>
    </w:p>
    <w:p w14:paraId="5476E476" w14:textId="70275C1B" w:rsidR="00931DB7" w:rsidRDefault="00931DB7" w:rsidP="000239C1">
      <w:pPr>
        <w:spacing w:after="0"/>
        <w:rPr>
          <w:rFonts w:asciiTheme="minorHAnsi" w:hAnsiTheme="minorHAnsi" w:cstheme="minorHAnsi"/>
        </w:rPr>
      </w:pPr>
    </w:p>
    <w:p w14:paraId="31055E76" w14:textId="4E34D699" w:rsidR="00931DB7" w:rsidRDefault="003F4365" w:rsidP="000239C1">
      <w:pPr>
        <w:spacing w:after="0"/>
        <w:rPr>
          <w:rFonts w:asciiTheme="minorHAnsi" w:hAnsiTheme="minorHAnsi" w:cstheme="minorHAnsi"/>
        </w:rPr>
      </w:pPr>
      <w:r>
        <w:rPr>
          <w:rFonts w:asciiTheme="minorHAnsi" w:hAnsiTheme="minorHAnsi" w:cstheme="minorHAnsi"/>
        </w:rPr>
        <w:t xml:space="preserve">“WaterGard will help many </w:t>
      </w:r>
      <w:r w:rsidR="00931DB7">
        <w:rPr>
          <w:rFonts w:asciiTheme="minorHAnsi" w:hAnsiTheme="minorHAnsi" w:cstheme="minorHAnsi"/>
        </w:rPr>
        <w:t xml:space="preserve">operators use less water </w:t>
      </w:r>
      <w:r>
        <w:rPr>
          <w:rFonts w:asciiTheme="minorHAnsi" w:hAnsiTheme="minorHAnsi" w:cstheme="minorHAnsi"/>
        </w:rPr>
        <w:t>without sacrificing cooling equipment longevity</w:t>
      </w:r>
      <w:r w:rsidR="00931DB7">
        <w:rPr>
          <w:rFonts w:asciiTheme="minorHAnsi" w:hAnsiTheme="minorHAnsi" w:cstheme="minorHAnsi"/>
        </w:rPr>
        <w:t>, especially for those with a safe operating cycle of concentration around 3.5 or lower</w:t>
      </w:r>
      <w:r w:rsidR="00907B25">
        <w:rPr>
          <w:rFonts w:asciiTheme="minorHAnsi" w:hAnsiTheme="minorHAnsi" w:cstheme="minorHAnsi"/>
        </w:rPr>
        <w:t xml:space="preserve"> before WaterGard</w:t>
      </w:r>
      <w:r w:rsidR="00931DB7">
        <w:rPr>
          <w:rFonts w:asciiTheme="minorHAnsi" w:hAnsiTheme="minorHAnsi" w:cstheme="minorHAnsi"/>
        </w:rPr>
        <w:t xml:space="preserve">,” added Zabel. “This product will offer the best results in areas with especially hard water, like the Southwest and in many Midwestern states.” </w:t>
      </w:r>
    </w:p>
    <w:p w14:paraId="56964C3A" w14:textId="77777777" w:rsidR="00931DB7" w:rsidRDefault="00931DB7" w:rsidP="000239C1">
      <w:pPr>
        <w:spacing w:after="0"/>
        <w:rPr>
          <w:rFonts w:asciiTheme="minorHAnsi" w:hAnsiTheme="minorHAnsi" w:cstheme="minorHAnsi"/>
        </w:rPr>
      </w:pPr>
    </w:p>
    <w:p w14:paraId="2712D7E7" w14:textId="4C575E4B" w:rsidR="00C7422F" w:rsidRDefault="00931DB7" w:rsidP="00C3265F">
      <w:pPr>
        <w:spacing w:after="0"/>
        <w:rPr>
          <w:rFonts w:asciiTheme="minorHAnsi" w:hAnsiTheme="minorHAnsi" w:cstheme="minorHAnsi"/>
        </w:rPr>
      </w:pPr>
      <w:r>
        <w:rPr>
          <w:rFonts w:asciiTheme="minorHAnsi" w:hAnsiTheme="minorHAnsi" w:cstheme="minorHAnsi"/>
        </w:rPr>
        <w:t xml:space="preserve">Customers who utilize WaterGard </w:t>
      </w:r>
      <w:r w:rsidR="003F4365">
        <w:rPr>
          <w:rFonts w:asciiTheme="minorHAnsi" w:hAnsiTheme="minorHAnsi" w:cstheme="minorHAnsi"/>
        </w:rPr>
        <w:t xml:space="preserve">for water savings </w:t>
      </w:r>
      <w:r>
        <w:rPr>
          <w:rFonts w:asciiTheme="minorHAnsi" w:hAnsiTheme="minorHAnsi" w:cstheme="minorHAnsi"/>
        </w:rPr>
        <w:t xml:space="preserve">should still employ </w:t>
      </w:r>
      <w:r w:rsidR="003F4365">
        <w:rPr>
          <w:rFonts w:asciiTheme="minorHAnsi" w:hAnsiTheme="minorHAnsi" w:cstheme="minorHAnsi"/>
        </w:rPr>
        <w:t xml:space="preserve">the appropriate water </w:t>
      </w:r>
      <w:r>
        <w:rPr>
          <w:rFonts w:asciiTheme="minorHAnsi" w:hAnsiTheme="minorHAnsi" w:cstheme="minorHAnsi"/>
        </w:rPr>
        <w:t xml:space="preserve">treatment, and </w:t>
      </w:r>
      <w:r w:rsidR="003F4365">
        <w:rPr>
          <w:rFonts w:asciiTheme="minorHAnsi" w:hAnsiTheme="minorHAnsi" w:cstheme="minorHAnsi"/>
        </w:rPr>
        <w:t>implement chlorine removal pre-treatment to protect the membrane filters</w:t>
      </w:r>
      <w:r>
        <w:rPr>
          <w:rFonts w:asciiTheme="minorHAnsi" w:hAnsiTheme="minorHAnsi" w:cstheme="minorHAnsi"/>
        </w:rPr>
        <w:t xml:space="preserve">. </w:t>
      </w:r>
      <w:r w:rsidR="003F4365">
        <w:rPr>
          <w:rFonts w:asciiTheme="minorHAnsi" w:hAnsiTheme="minorHAnsi" w:cstheme="minorHAnsi"/>
        </w:rPr>
        <w:t>WaterGard</w:t>
      </w:r>
      <w:r>
        <w:rPr>
          <w:rFonts w:asciiTheme="minorHAnsi" w:hAnsiTheme="minorHAnsi" w:cstheme="minorHAnsi"/>
        </w:rPr>
        <w:t xml:space="preserve"> also</w:t>
      </w:r>
      <w:r w:rsidR="003F4365">
        <w:rPr>
          <w:rFonts w:asciiTheme="minorHAnsi" w:hAnsiTheme="minorHAnsi" w:cstheme="minorHAnsi"/>
        </w:rPr>
        <w:t xml:space="preserve"> must</w:t>
      </w:r>
      <w:r>
        <w:rPr>
          <w:rFonts w:asciiTheme="minorHAnsi" w:hAnsiTheme="minorHAnsi" w:cstheme="minorHAnsi"/>
        </w:rPr>
        <w:t xml:space="preserve"> be used in conjunction with an electronic liquid level control and conductivity-controlled blowdown system</w:t>
      </w:r>
      <w:r w:rsidR="003F4365">
        <w:rPr>
          <w:rFonts w:asciiTheme="minorHAnsi" w:hAnsiTheme="minorHAnsi" w:cstheme="minorHAnsi"/>
        </w:rPr>
        <w:t xml:space="preserve"> to achieve the expected benefits</w:t>
      </w:r>
      <w:r>
        <w:rPr>
          <w:rFonts w:asciiTheme="minorHAnsi" w:hAnsiTheme="minorHAnsi" w:cstheme="minorHAnsi"/>
        </w:rPr>
        <w:t>. For ques</w:t>
      </w:r>
      <w:r w:rsidR="005D156F">
        <w:rPr>
          <w:rFonts w:asciiTheme="minorHAnsi" w:hAnsiTheme="minorHAnsi" w:cstheme="minorHAnsi"/>
        </w:rPr>
        <w:t xml:space="preserve">tions </w:t>
      </w:r>
      <w:r w:rsidR="005D156F">
        <w:rPr>
          <w:rFonts w:asciiTheme="minorHAnsi" w:hAnsiTheme="minorHAnsi" w:cstheme="minorHAnsi"/>
        </w:rPr>
        <w:lastRenderedPageBreak/>
        <w:t xml:space="preserve">about these requirements, or to learn more about WaterGard, contact your nearby </w:t>
      </w:r>
      <w:hyperlink r:id="rId8" w:history="1">
        <w:r w:rsidR="005D156F" w:rsidRPr="005D156F">
          <w:rPr>
            <w:rStyle w:val="Hyperlink"/>
            <w:rFonts w:asciiTheme="minorHAnsi" w:hAnsiTheme="minorHAnsi" w:cstheme="minorHAnsi"/>
          </w:rPr>
          <w:t>SPX Cooling product representative</w:t>
        </w:r>
      </w:hyperlink>
      <w:r w:rsidR="005D156F">
        <w:rPr>
          <w:rFonts w:asciiTheme="minorHAnsi" w:hAnsiTheme="minorHAnsi" w:cstheme="minorHAnsi"/>
        </w:rPr>
        <w:t xml:space="preserve">. </w:t>
      </w:r>
      <w:r w:rsidR="00042F78">
        <w:rPr>
          <w:rFonts w:asciiTheme="minorHAnsi" w:hAnsiTheme="minorHAnsi" w:cstheme="minorHAnsi"/>
        </w:rPr>
        <w:t xml:space="preserve"> </w:t>
      </w:r>
    </w:p>
    <w:p w14:paraId="75B8772F" w14:textId="77777777" w:rsidR="00C66EDA" w:rsidRDefault="00C66EDA" w:rsidP="00C3265F">
      <w:pPr>
        <w:spacing w:after="0"/>
        <w:rPr>
          <w:rFonts w:asciiTheme="minorHAnsi" w:hAnsiTheme="minorHAnsi" w:cstheme="minorHAnsi"/>
        </w:rPr>
      </w:pPr>
    </w:p>
    <w:p w14:paraId="4C4D765E" w14:textId="57A1DAB1" w:rsidR="0018066E" w:rsidRPr="00A82FE7" w:rsidRDefault="0018066E" w:rsidP="00C66EDA">
      <w:pPr>
        <w:spacing w:after="0"/>
        <w:rPr>
          <w:rFonts w:asciiTheme="minorHAnsi" w:hAnsiTheme="minorHAnsi" w:cstheme="minorHAnsi"/>
        </w:rPr>
      </w:pPr>
    </w:p>
    <w:p w14:paraId="52C2D0AF" w14:textId="66FFF196" w:rsidR="00301C3A" w:rsidRPr="00A82FE7" w:rsidRDefault="00301C3A" w:rsidP="0018066E">
      <w:pPr>
        <w:pStyle w:val="Normal1"/>
        <w:jc w:val="center"/>
        <w:rPr>
          <w:rFonts w:asciiTheme="minorHAnsi" w:hAnsiTheme="minorHAnsi" w:cstheme="minorHAnsi"/>
        </w:rPr>
      </w:pPr>
      <w:r w:rsidRPr="00A82FE7">
        <w:rPr>
          <w:rFonts w:asciiTheme="minorHAnsi" w:hAnsiTheme="minorHAnsi" w:cstheme="minorHAnsi"/>
        </w:rPr>
        <w:t>###</w:t>
      </w:r>
      <w:r w:rsidR="00C3265F">
        <w:rPr>
          <w:rFonts w:asciiTheme="minorHAnsi" w:hAnsiTheme="minorHAnsi" w:cstheme="minorHAnsi"/>
        </w:rPr>
        <w:br/>
      </w:r>
    </w:p>
    <w:p w14:paraId="317EBC50" w14:textId="77777777" w:rsidR="00C212C7" w:rsidRPr="00B44598" w:rsidRDefault="00C212C7" w:rsidP="00C212C7">
      <w:pPr>
        <w:spacing w:before="100" w:beforeAutospacing="1"/>
        <w:rPr>
          <w:rFonts w:asciiTheme="minorHAnsi" w:hAnsiTheme="minorHAnsi" w:cstheme="minorHAnsi"/>
          <w:b/>
          <w:color w:val="auto"/>
        </w:rPr>
      </w:pPr>
      <w:r w:rsidRPr="00B44598">
        <w:rPr>
          <w:rFonts w:asciiTheme="minorHAnsi" w:hAnsiTheme="minorHAnsi" w:cstheme="minorHAnsi"/>
          <w:b/>
          <w:color w:val="auto"/>
        </w:rPr>
        <w:t>Abou</w:t>
      </w:r>
      <w:r>
        <w:rPr>
          <w:rFonts w:asciiTheme="minorHAnsi" w:hAnsiTheme="minorHAnsi" w:cstheme="minorHAnsi"/>
          <w:b/>
          <w:color w:val="auto"/>
        </w:rPr>
        <w:t>t SPX Cooling Tech, LLC</w:t>
      </w:r>
      <w:r w:rsidRPr="00B44598">
        <w:rPr>
          <w:rFonts w:asciiTheme="minorHAnsi" w:hAnsiTheme="minorHAnsi" w:cstheme="minorHAnsi"/>
          <w:b/>
          <w:color w:val="auto"/>
        </w:rPr>
        <w:t>:</w:t>
      </w:r>
    </w:p>
    <w:p w14:paraId="660B26CC" w14:textId="77777777" w:rsidR="00C212C7" w:rsidRDefault="00C212C7" w:rsidP="00C212C7">
      <w:pPr>
        <w:spacing w:before="100" w:beforeAutospacing="1"/>
        <w:rPr>
          <w:rFonts w:asciiTheme="minorHAnsi" w:hAnsiTheme="minorHAnsi" w:cstheme="minorHAnsi"/>
          <w:color w:val="auto"/>
        </w:rPr>
      </w:pPr>
      <w:r>
        <w:rPr>
          <w:rFonts w:asciiTheme="minorHAnsi" w:hAnsiTheme="minorHAnsi" w:cstheme="minorHAnsi"/>
          <w:color w:val="auto"/>
        </w:rPr>
        <w:t>SPX Cooling Tech</w:t>
      </w:r>
      <w:r w:rsidRPr="005025A1">
        <w:rPr>
          <w:rFonts w:asciiTheme="minorHAnsi" w:hAnsiTheme="minorHAnsi" w:cstheme="minorHAnsi"/>
          <w:color w:val="auto"/>
        </w:rPr>
        <w:t xml:space="preserve"> is a leading global manufacturer of cooling towers, evaporative fluid coolers, evaporative condensers</w:t>
      </w:r>
      <w:r>
        <w:rPr>
          <w:rFonts w:asciiTheme="minorHAnsi" w:hAnsiTheme="minorHAnsi" w:cstheme="minorHAnsi"/>
          <w:color w:val="auto"/>
        </w:rPr>
        <w:t>, industrial evaporators</w:t>
      </w:r>
      <w:r w:rsidRPr="005025A1">
        <w:rPr>
          <w:rFonts w:asciiTheme="minorHAnsi" w:hAnsiTheme="minorHAnsi" w:cstheme="minorHAnsi"/>
          <w:color w:val="auto"/>
        </w:rPr>
        <w:t xml:space="preserve"> and air-cooled heat exchangers</w:t>
      </w:r>
      <w:r>
        <w:rPr>
          <w:rFonts w:asciiTheme="minorHAnsi" w:hAnsiTheme="minorHAnsi" w:cstheme="minorHAnsi"/>
          <w:color w:val="auto"/>
        </w:rPr>
        <w:t>. Since 1922, its cooling systems and components,</w:t>
      </w:r>
      <w:r w:rsidRPr="005025A1">
        <w:rPr>
          <w:rFonts w:asciiTheme="minorHAnsi" w:hAnsiTheme="minorHAnsi" w:cstheme="minorHAnsi"/>
          <w:color w:val="auto"/>
        </w:rPr>
        <w:t xml:space="preserve"> </w:t>
      </w:r>
      <w:r>
        <w:rPr>
          <w:rFonts w:asciiTheme="minorHAnsi" w:hAnsiTheme="minorHAnsi" w:cstheme="minorHAnsi"/>
          <w:color w:val="auto"/>
        </w:rPr>
        <w:t>coupled with</w:t>
      </w:r>
      <w:r w:rsidRPr="005025A1">
        <w:rPr>
          <w:rFonts w:asciiTheme="minorHAnsi" w:hAnsiTheme="minorHAnsi" w:cstheme="minorHAnsi"/>
          <w:color w:val="auto"/>
        </w:rPr>
        <w:t xml:space="preserve"> </w:t>
      </w:r>
      <w:r>
        <w:rPr>
          <w:rFonts w:asciiTheme="minorHAnsi" w:hAnsiTheme="minorHAnsi" w:cstheme="minorHAnsi"/>
          <w:color w:val="auto"/>
        </w:rPr>
        <w:t xml:space="preserve">technical services, have supported applications in </w:t>
      </w:r>
      <w:r w:rsidRPr="005025A1">
        <w:rPr>
          <w:rFonts w:asciiTheme="minorHAnsi" w:hAnsiTheme="minorHAnsi" w:cstheme="minorHAnsi"/>
          <w:color w:val="auto"/>
        </w:rPr>
        <w:t>heating, ventilation and air conditioning (HVAC)</w:t>
      </w:r>
      <w:r>
        <w:rPr>
          <w:rFonts w:asciiTheme="minorHAnsi" w:hAnsiTheme="minorHAnsi" w:cstheme="minorHAnsi"/>
          <w:color w:val="auto"/>
        </w:rPr>
        <w:t>, refrigeration, and industrial process cooling. SPX Cooling Tech</w:t>
      </w:r>
      <w:r w:rsidRPr="005025A1">
        <w:rPr>
          <w:rFonts w:asciiTheme="minorHAnsi" w:hAnsiTheme="minorHAnsi" w:cstheme="minorHAnsi"/>
          <w:color w:val="auto"/>
        </w:rPr>
        <w:t xml:space="preserve"> and its product brands are part of SPX </w:t>
      </w:r>
      <w:r>
        <w:rPr>
          <w:rFonts w:asciiTheme="minorHAnsi" w:hAnsiTheme="minorHAnsi" w:cstheme="minorHAnsi"/>
          <w:color w:val="auto"/>
        </w:rPr>
        <w:t xml:space="preserve">Technologies, Inc. For more information see </w:t>
      </w:r>
      <w:hyperlink r:id="rId9" w:history="1">
        <w:r w:rsidRPr="00827548">
          <w:rPr>
            <w:rStyle w:val="Hyperlink"/>
            <w:rFonts w:asciiTheme="minorHAnsi" w:hAnsiTheme="minorHAnsi" w:cstheme="minorHAnsi"/>
          </w:rPr>
          <w:t>www.spxcooling.com</w:t>
        </w:r>
      </w:hyperlink>
      <w:r>
        <w:rPr>
          <w:rFonts w:asciiTheme="minorHAnsi" w:hAnsiTheme="minorHAnsi" w:cstheme="minorHAnsi"/>
          <w:color w:val="auto"/>
        </w:rPr>
        <w:t>.</w:t>
      </w:r>
    </w:p>
    <w:p w14:paraId="33B60F0B" w14:textId="3039B919" w:rsidR="001F5947" w:rsidRPr="009E6BD4" w:rsidRDefault="001F5947" w:rsidP="00C212C7">
      <w:pPr>
        <w:spacing w:before="100" w:beforeAutospacing="1"/>
        <w:rPr>
          <w:rFonts w:asciiTheme="minorHAnsi" w:hAnsiTheme="minorHAnsi" w:cstheme="minorHAnsi"/>
          <w:color w:val="auto"/>
        </w:rPr>
      </w:pPr>
    </w:p>
    <w:sectPr w:rsidR="001F5947" w:rsidRPr="009E6BD4" w:rsidSect="004273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424E" w14:textId="77777777" w:rsidR="00BF2147" w:rsidRDefault="00BF2147" w:rsidP="0042739D">
      <w:pPr>
        <w:spacing w:after="0"/>
      </w:pPr>
      <w:r>
        <w:separator/>
      </w:r>
    </w:p>
  </w:endnote>
  <w:endnote w:type="continuationSeparator" w:id="0">
    <w:p w14:paraId="3BAA3C85" w14:textId="77777777" w:rsidR="00BF2147" w:rsidRDefault="00BF2147" w:rsidP="00427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5BEB3" w14:textId="77777777" w:rsidR="00BF2147" w:rsidRDefault="00BF2147" w:rsidP="0042739D">
      <w:pPr>
        <w:spacing w:after="0"/>
      </w:pPr>
      <w:r>
        <w:separator/>
      </w:r>
    </w:p>
  </w:footnote>
  <w:footnote w:type="continuationSeparator" w:id="0">
    <w:p w14:paraId="61C6DC5E" w14:textId="77777777" w:rsidR="00BF2147" w:rsidRDefault="00BF2147" w:rsidP="0042739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3A"/>
    <w:rsid w:val="000021F6"/>
    <w:rsid w:val="000032FA"/>
    <w:rsid w:val="000219B1"/>
    <w:rsid w:val="000239C1"/>
    <w:rsid w:val="00036E77"/>
    <w:rsid w:val="00040E92"/>
    <w:rsid w:val="000418E6"/>
    <w:rsid w:val="00042514"/>
    <w:rsid w:val="00042F78"/>
    <w:rsid w:val="000437FC"/>
    <w:rsid w:val="00061753"/>
    <w:rsid w:val="0006582C"/>
    <w:rsid w:val="00082C38"/>
    <w:rsid w:val="00095BE9"/>
    <w:rsid w:val="000A0F7A"/>
    <w:rsid w:val="000A44FF"/>
    <w:rsid w:val="000B4DCF"/>
    <w:rsid w:val="000D11F9"/>
    <w:rsid w:val="000D63B7"/>
    <w:rsid w:val="000E12FB"/>
    <w:rsid w:val="000F4E19"/>
    <w:rsid w:val="001007CE"/>
    <w:rsid w:val="0010295B"/>
    <w:rsid w:val="001100F7"/>
    <w:rsid w:val="0011263E"/>
    <w:rsid w:val="00114705"/>
    <w:rsid w:val="00116EF9"/>
    <w:rsid w:val="00121D73"/>
    <w:rsid w:val="00126059"/>
    <w:rsid w:val="00126329"/>
    <w:rsid w:val="001301B9"/>
    <w:rsid w:val="0014486D"/>
    <w:rsid w:val="00162177"/>
    <w:rsid w:val="00162557"/>
    <w:rsid w:val="00165131"/>
    <w:rsid w:val="001722E1"/>
    <w:rsid w:val="001742DF"/>
    <w:rsid w:val="00177B6F"/>
    <w:rsid w:val="0018066E"/>
    <w:rsid w:val="00184C90"/>
    <w:rsid w:val="00186704"/>
    <w:rsid w:val="00186768"/>
    <w:rsid w:val="00187B29"/>
    <w:rsid w:val="001A1467"/>
    <w:rsid w:val="001A1798"/>
    <w:rsid w:val="001B362E"/>
    <w:rsid w:val="001D0AE9"/>
    <w:rsid w:val="001D785B"/>
    <w:rsid w:val="001E0418"/>
    <w:rsid w:val="001E19D8"/>
    <w:rsid w:val="001F1FAA"/>
    <w:rsid w:val="001F5048"/>
    <w:rsid w:val="001F5947"/>
    <w:rsid w:val="00200319"/>
    <w:rsid w:val="002036EA"/>
    <w:rsid w:val="0022417A"/>
    <w:rsid w:val="00225481"/>
    <w:rsid w:val="0022680B"/>
    <w:rsid w:val="00226E56"/>
    <w:rsid w:val="00237D1D"/>
    <w:rsid w:val="00251D14"/>
    <w:rsid w:val="00255A85"/>
    <w:rsid w:val="00260B94"/>
    <w:rsid w:val="00262CF3"/>
    <w:rsid w:val="00266A24"/>
    <w:rsid w:val="00295F87"/>
    <w:rsid w:val="002A0148"/>
    <w:rsid w:val="002C6AC9"/>
    <w:rsid w:val="002D4380"/>
    <w:rsid w:val="002D46DE"/>
    <w:rsid w:val="002D7B52"/>
    <w:rsid w:val="002E29E6"/>
    <w:rsid w:val="002E791C"/>
    <w:rsid w:val="002F31F8"/>
    <w:rsid w:val="00301C3A"/>
    <w:rsid w:val="00304BE7"/>
    <w:rsid w:val="00311B63"/>
    <w:rsid w:val="0033405C"/>
    <w:rsid w:val="0033670A"/>
    <w:rsid w:val="00342BE2"/>
    <w:rsid w:val="00361A73"/>
    <w:rsid w:val="00363C0F"/>
    <w:rsid w:val="00375CD2"/>
    <w:rsid w:val="003762DD"/>
    <w:rsid w:val="00385E03"/>
    <w:rsid w:val="00394739"/>
    <w:rsid w:val="003A27A5"/>
    <w:rsid w:val="003B3B21"/>
    <w:rsid w:val="003B60AC"/>
    <w:rsid w:val="003C5A44"/>
    <w:rsid w:val="003D2988"/>
    <w:rsid w:val="003D42E5"/>
    <w:rsid w:val="003F4365"/>
    <w:rsid w:val="0040761E"/>
    <w:rsid w:val="00414131"/>
    <w:rsid w:val="00420358"/>
    <w:rsid w:val="0042739D"/>
    <w:rsid w:val="0044529C"/>
    <w:rsid w:val="00446143"/>
    <w:rsid w:val="0045264C"/>
    <w:rsid w:val="00453242"/>
    <w:rsid w:val="004553A6"/>
    <w:rsid w:val="004569C9"/>
    <w:rsid w:val="00491000"/>
    <w:rsid w:val="0049480D"/>
    <w:rsid w:val="00494F65"/>
    <w:rsid w:val="004C4E27"/>
    <w:rsid w:val="004D3DBE"/>
    <w:rsid w:val="004D6017"/>
    <w:rsid w:val="004F1104"/>
    <w:rsid w:val="0050280F"/>
    <w:rsid w:val="00503280"/>
    <w:rsid w:val="00506411"/>
    <w:rsid w:val="00507709"/>
    <w:rsid w:val="0051470A"/>
    <w:rsid w:val="00515220"/>
    <w:rsid w:val="00535A14"/>
    <w:rsid w:val="00540C03"/>
    <w:rsid w:val="00572AB0"/>
    <w:rsid w:val="00587C2D"/>
    <w:rsid w:val="00591F8B"/>
    <w:rsid w:val="005A6B16"/>
    <w:rsid w:val="005B5571"/>
    <w:rsid w:val="005D156F"/>
    <w:rsid w:val="005D21C9"/>
    <w:rsid w:val="005D71C3"/>
    <w:rsid w:val="005F4085"/>
    <w:rsid w:val="005F5A8D"/>
    <w:rsid w:val="00600696"/>
    <w:rsid w:val="00600DCD"/>
    <w:rsid w:val="0060767C"/>
    <w:rsid w:val="00615C7A"/>
    <w:rsid w:val="006169ED"/>
    <w:rsid w:val="00635083"/>
    <w:rsid w:val="006403E8"/>
    <w:rsid w:val="00644BA7"/>
    <w:rsid w:val="00647FE8"/>
    <w:rsid w:val="006555F2"/>
    <w:rsid w:val="00660501"/>
    <w:rsid w:val="00663DCC"/>
    <w:rsid w:val="00670ABA"/>
    <w:rsid w:val="00676F7B"/>
    <w:rsid w:val="006834BE"/>
    <w:rsid w:val="00687E5C"/>
    <w:rsid w:val="0069091A"/>
    <w:rsid w:val="006951AC"/>
    <w:rsid w:val="0069521A"/>
    <w:rsid w:val="006A125F"/>
    <w:rsid w:val="006A520A"/>
    <w:rsid w:val="006A7ABD"/>
    <w:rsid w:val="006C2F94"/>
    <w:rsid w:val="006C75A5"/>
    <w:rsid w:val="006F0414"/>
    <w:rsid w:val="006F2E4C"/>
    <w:rsid w:val="00712859"/>
    <w:rsid w:val="00721E7A"/>
    <w:rsid w:val="00724658"/>
    <w:rsid w:val="00736C65"/>
    <w:rsid w:val="00737028"/>
    <w:rsid w:val="0075662B"/>
    <w:rsid w:val="00783E77"/>
    <w:rsid w:val="00786774"/>
    <w:rsid w:val="0079037B"/>
    <w:rsid w:val="007C6CF9"/>
    <w:rsid w:val="007E02C8"/>
    <w:rsid w:val="0080149A"/>
    <w:rsid w:val="00802593"/>
    <w:rsid w:val="008033BA"/>
    <w:rsid w:val="008202CF"/>
    <w:rsid w:val="008215A2"/>
    <w:rsid w:val="00830582"/>
    <w:rsid w:val="008355EE"/>
    <w:rsid w:val="0084493A"/>
    <w:rsid w:val="00851964"/>
    <w:rsid w:val="00860794"/>
    <w:rsid w:val="0086696C"/>
    <w:rsid w:val="008871D9"/>
    <w:rsid w:val="00891F2C"/>
    <w:rsid w:val="008A7188"/>
    <w:rsid w:val="008B0254"/>
    <w:rsid w:val="008B0B6D"/>
    <w:rsid w:val="008C53B0"/>
    <w:rsid w:val="008C74A1"/>
    <w:rsid w:val="008D75B4"/>
    <w:rsid w:val="008E0D41"/>
    <w:rsid w:val="008E1BD9"/>
    <w:rsid w:val="008E3B8F"/>
    <w:rsid w:val="00906C66"/>
    <w:rsid w:val="009077F9"/>
    <w:rsid w:val="00907B25"/>
    <w:rsid w:val="00917F95"/>
    <w:rsid w:val="009204ED"/>
    <w:rsid w:val="00931DB7"/>
    <w:rsid w:val="009366B2"/>
    <w:rsid w:val="00945575"/>
    <w:rsid w:val="00947D04"/>
    <w:rsid w:val="00956F62"/>
    <w:rsid w:val="00957F1D"/>
    <w:rsid w:val="009628CB"/>
    <w:rsid w:val="009822CF"/>
    <w:rsid w:val="009A1E9A"/>
    <w:rsid w:val="009A7F7B"/>
    <w:rsid w:val="009D1C4E"/>
    <w:rsid w:val="009D6FFE"/>
    <w:rsid w:val="009D7618"/>
    <w:rsid w:val="009E6BD4"/>
    <w:rsid w:val="009F3C08"/>
    <w:rsid w:val="00A0197E"/>
    <w:rsid w:val="00A10F20"/>
    <w:rsid w:val="00A1562B"/>
    <w:rsid w:val="00A15BE8"/>
    <w:rsid w:val="00A54757"/>
    <w:rsid w:val="00A61693"/>
    <w:rsid w:val="00A63343"/>
    <w:rsid w:val="00A641F8"/>
    <w:rsid w:val="00A70FA6"/>
    <w:rsid w:val="00A751E2"/>
    <w:rsid w:val="00A772AE"/>
    <w:rsid w:val="00A80C74"/>
    <w:rsid w:val="00A82FE7"/>
    <w:rsid w:val="00AB28CB"/>
    <w:rsid w:val="00AC3A74"/>
    <w:rsid w:val="00AD2370"/>
    <w:rsid w:val="00AE0164"/>
    <w:rsid w:val="00AE5B53"/>
    <w:rsid w:val="00AF1628"/>
    <w:rsid w:val="00B01830"/>
    <w:rsid w:val="00B053D7"/>
    <w:rsid w:val="00B0644B"/>
    <w:rsid w:val="00B119FD"/>
    <w:rsid w:val="00B16717"/>
    <w:rsid w:val="00B27120"/>
    <w:rsid w:val="00B34B96"/>
    <w:rsid w:val="00B44598"/>
    <w:rsid w:val="00B4537F"/>
    <w:rsid w:val="00B666A9"/>
    <w:rsid w:val="00B7525F"/>
    <w:rsid w:val="00B754AD"/>
    <w:rsid w:val="00B76FE7"/>
    <w:rsid w:val="00B83943"/>
    <w:rsid w:val="00B9141E"/>
    <w:rsid w:val="00BA55D7"/>
    <w:rsid w:val="00BB3894"/>
    <w:rsid w:val="00BB5063"/>
    <w:rsid w:val="00BD06CC"/>
    <w:rsid w:val="00BE04D0"/>
    <w:rsid w:val="00BE3D38"/>
    <w:rsid w:val="00BF2147"/>
    <w:rsid w:val="00BF4AEB"/>
    <w:rsid w:val="00C00284"/>
    <w:rsid w:val="00C06EAF"/>
    <w:rsid w:val="00C212C7"/>
    <w:rsid w:val="00C3265F"/>
    <w:rsid w:val="00C66EDA"/>
    <w:rsid w:val="00C7422F"/>
    <w:rsid w:val="00C74B2F"/>
    <w:rsid w:val="00C8441A"/>
    <w:rsid w:val="00CA7F79"/>
    <w:rsid w:val="00CC2B50"/>
    <w:rsid w:val="00CC4E1D"/>
    <w:rsid w:val="00CD18F4"/>
    <w:rsid w:val="00CD71D9"/>
    <w:rsid w:val="00CE3AF2"/>
    <w:rsid w:val="00D01AB1"/>
    <w:rsid w:val="00D024B7"/>
    <w:rsid w:val="00D024BF"/>
    <w:rsid w:val="00D1044C"/>
    <w:rsid w:val="00D325EF"/>
    <w:rsid w:val="00D76673"/>
    <w:rsid w:val="00D769F2"/>
    <w:rsid w:val="00D90957"/>
    <w:rsid w:val="00DA0925"/>
    <w:rsid w:val="00DB3064"/>
    <w:rsid w:val="00DC3A23"/>
    <w:rsid w:val="00DC4561"/>
    <w:rsid w:val="00DC6C95"/>
    <w:rsid w:val="00DD0DD3"/>
    <w:rsid w:val="00DE1126"/>
    <w:rsid w:val="00E04A84"/>
    <w:rsid w:val="00E12580"/>
    <w:rsid w:val="00E34539"/>
    <w:rsid w:val="00E50502"/>
    <w:rsid w:val="00E57AE8"/>
    <w:rsid w:val="00E70C31"/>
    <w:rsid w:val="00E73EEB"/>
    <w:rsid w:val="00E77AA1"/>
    <w:rsid w:val="00E86D07"/>
    <w:rsid w:val="00EC3457"/>
    <w:rsid w:val="00EE78FC"/>
    <w:rsid w:val="00EF065F"/>
    <w:rsid w:val="00EF3397"/>
    <w:rsid w:val="00F01852"/>
    <w:rsid w:val="00F253F5"/>
    <w:rsid w:val="00F327F9"/>
    <w:rsid w:val="00F35E18"/>
    <w:rsid w:val="00F450D5"/>
    <w:rsid w:val="00F67FA3"/>
    <w:rsid w:val="00F72F80"/>
    <w:rsid w:val="00F902CA"/>
    <w:rsid w:val="00F92DF1"/>
    <w:rsid w:val="00FA561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02463"/>
  <w15:docId w15:val="{628B37A7-62C0-4628-8711-AAA7CF67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3A"/>
    <w:pPr>
      <w:spacing w:after="12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1C3A"/>
    <w:pPr>
      <w:spacing w:after="12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01C3A"/>
    <w:rPr>
      <w:color w:val="0000FF" w:themeColor="hyperlink"/>
      <w:u w:val="single"/>
    </w:rPr>
  </w:style>
  <w:style w:type="paragraph" w:styleId="Header">
    <w:name w:val="header"/>
    <w:basedOn w:val="Normal"/>
    <w:link w:val="HeaderChar"/>
    <w:uiPriority w:val="99"/>
    <w:unhideWhenUsed/>
    <w:rsid w:val="0042739D"/>
    <w:pPr>
      <w:tabs>
        <w:tab w:val="center" w:pos="4680"/>
        <w:tab w:val="right" w:pos="9360"/>
      </w:tabs>
      <w:spacing w:after="0"/>
    </w:pPr>
  </w:style>
  <w:style w:type="character" w:customStyle="1" w:styleId="HeaderChar">
    <w:name w:val="Header Char"/>
    <w:basedOn w:val="DefaultParagraphFont"/>
    <w:link w:val="Header"/>
    <w:uiPriority w:val="99"/>
    <w:rsid w:val="0042739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2739D"/>
    <w:pPr>
      <w:tabs>
        <w:tab w:val="center" w:pos="4680"/>
        <w:tab w:val="right" w:pos="9360"/>
      </w:tabs>
      <w:spacing w:after="0"/>
    </w:pPr>
  </w:style>
  <w:style w:type="character" w:customStyle="1" w:styleId="FooterChar">
    <w:name w:val="Footer Char"/>
    <w:basedOn w:val="DefaultParagraphFont"/>
    <w:link w:val="Footer"/>
    <w:uiPriority w:val="99"/>
    <w:rsid w:val="0042739D"/>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2739D"/>
    <w:rPr>
      <w:color w:val="800080" w:themeColor="followedHyperlink"/>
      <w:u w:val="single"/>
    </w:rPr>
  </w:style>
  <w:style w:type="paragraph" w:styleId="NormalWeb">
    <w:name w:val="Normal (Web)"/>
    <w:basedOn w:val="Normal"/>
    <w:uiPriority w:val="99"/>
    <w:semiHidden/>
    <w:unhideWhenUsed/>
    <w:rsid w:val="00B119FD"/>
  </w:style>
  <w:style w:type="character" w:customStyle="1" w:styleId="UnresolvedMention1">
    <w:name w:val="Unresolved Mention1"/>
    <w:basedOn w:val="DefaultParagraphFont"/>
    <w:uiPriority w:val="99"/>
    <w:semiHidden/>
    <w:unhideWhenUsed/>
    <w:rsid w:val="00385E03"/>
    <w:rPr>
      <w:color w:val="808080"/>
      <w:shd w:val="clear" w:color="auto" w:fill="E6E6E6"/>
    </w:rPr>
  </w:style>
  <w:style w:type="paragraph" w:styleId="BalloonText">
    <w:name w:val="Balloon Text"/>
    <w:basedOn w:val="Normal"/>
    <w:link w:val="BalloonTextChar"/>
    <w:uiPriority w:val="99"/>
    <w:semiHidden/>
    <w:unhideWhenUsed/>
    <w:rsid w:val="00B754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AD"/>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A63343"/>
    <w:rPr>
      <w:sz w:val="16"/>
      <w:szCs w:val="16"/>
    </w:rPr>
  </w:style>
  <w:style w:type="paragraph" w:styleId="CommentText">
    <w:name w:val="annotation text"/>
    <w:basedOn w:val="Normal"/>
    <w:link w:val="CommentTextChar"/>
    <w:uiPriority w:val="99"/>
    <w:semiHidden/>
    <w:unhideWhenUsed/>
    <w:rsid w:val="00A63343"/>
    <w:rPr>
      <w:sz w:val="20"/>
      <w:szCs w:val="20"/>
    </w:rPr>
  </w:style>
  <w:style w:type="character" w:customStyle="1" w:styleId="CommentTextChar">
    <w:name w:val="Comment Text Char"/>
    <w:basedOn w:val="DefaultParagraphFont"/>
    <w:link w:val="CommentText"/>
    <w:uiPriority w:val="99"/>
    <w:semiHidden/>
    <w:rsid w:val="00A6334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63343"/>
    <w:rPr>
      <w:b/>
      <w:bCs/>
    </w:rPr>
  </w:style>
  <w:style w:type="character" w:customStyle="1" w:styleId="CommentSubjectChar">
    <w:name w:val="Comment Subject Char"/>
    <w:basedOn w:val="CommentTextChar"/>
    <w:link w:val="CommentSubject"/>
    <w:uiPriority w:val="99"/>
    <w:semiHidden/>
    <w:rsid w:val="00A63343"/>
    <w:rPr>
      <w:rFonts w:ascii="Times New Roman" w:eastAsia="Times New Roman" w:hAnsi="Times New Roman" w:cs="Times New Roman"/>
      <w:b/>
      <w:bCs/>
      <w:color w:val="000000"/>
      <w:sz w:val="20"/>
      <w:szCs w:val="20"/>
    </w:rPr>
  </w:style>
  <w:style w:type="character" w:customStyle="1" w:styleId="UnresolvedMention2">
    <w:name w:val="Unresolved Mention2"/>
    <w:basedOn w:val="DefaultParagraphFont"/>
    <w:uiPriority w:val="99"/>
    <w:rsid w:val="00165131"/>
    <w:rPr>
      <w:color w:val="808080"/>
      <w:shd w:val="clear" w:color="auto" w:fill="E6E6E6"/>
    </w:rPr>
  </w:style>
  <w:style w:type="character" w:styleId="Strong">
    <w:name w:val="Strong"/>
    <w:basedOn w:val="DefaultParagraphFont"/>
    <w:uiPriority w:val="22"/>
    <w:qFormat/>
    <w:rsid w:val="004C4E27"/>
    <w:rPr>
      <w:b/>
      <w:bCs/>
    </w:rPr>
  </w:style>
  <w:style w:type="character" w:customStyle="1" w:styleId="UnresolvedMention">
    <w:name w:val="Unresolved Mention"/>
    <w:basedOn w:val="DefaultParagraphFont"/>
    <w:uiPriority w:val="99"/>
    <w:semiHidden/>
    <w:unhideWhenUsed/>
    <w:rsid w:val="00A82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624">
      <w:bodyDiv w:val="1"/>
      <w:marLeft w:val="0"/>
      <w:marRight w:val="0"/>
      <w:marTop w:val="0"/>
      <w:marBottom w:val="0"/>
      <w:divBdr>
        <w:top w:val="none" w:sz="0" w:space="0" w:color="auto"/>
        <w:left w:val="none" w:sz="0" w:space="0" w:color="auto"/>
        <w:bottom w:val="none" w:sz="0" w:space="0" w:color="auto"/>
        <w:right w:val="none" w:sz="0" w:space="0" w:color="auto"/>
      </w:divBdr>
      <w:divsChild>
        <w:div w:id="1742942358">
          <w:marLeft w:val="0"/>
          <w:marRight w:val="0"/>
          <w:marTop w:val="0"/>
          <w:marBottom w:val="0"/>
          <w:divBdr>
            <w:top w:val="none" w:sz="0" w:space="0" w:color="auto"/>
            <w:left w:val="none" w:sz="0" w:space="0" w:color="auto"/>
            <w:bottom w:val="none" w:sz="0" w:space="0" w:color="auto"/>
            <w:right w:val="none" w:sz="0" w:space="0" w:color="auto"/>
          </w:divBdr>
          <w:divsChild>
            <w:div w:id="2133279494">
              <w:marLeft w:val="0"/>
              <w:marRight w:val="0"/>
              <w:marTop w:val="600"/>
              <w:marBottom w:val="600"/>
              <w:divBdr>
                <w:top w:val="none" w:sz="0" w:space="0" w:color="auto"/>
                <w:left w:val="none" w:sz="0" w:space="0" w:color="auto"/>
                <w:bottom w:val="none" w:sz="0" w:space="0" w:color="auto"/>
                <w:right w:val="none" w:sz="0" w:space="0" w:color="auto"/>
              </w:divBdr>
              <w:divsChild>
                <w:div w:id="218827363">
                  <w:marLeft w:val="0"/>
                  <w:marRight w:val="0"/>
                  <w:marTop w:val="0"/>
                  <w:marBottom w:val="0"/>
                  <w:divBdr>
                    <w:top w:val="none" w:sz="0" w:space="0" w:color="auto"/>
                    <w:left w:val="none" w:sz="0" w:space="0" w:color="auto"/>
                    <w:bottom w:val="none" w:sz="0" w:space="0" w:color="auto"/>
                    <w:right w:val="none" w:sz="0" w:space="0" w:color="auto"/>
                  </w:divBdr>
                  <w:divsChild>
                    <w:div w:id="2083748880">
                      <w:marLeft w:val="-225"/>
                      <w:marRight w:val="-225"/>
                      <w:marTop w:val="0"/>
                      <w:marBottom w:val="0"/>
                      <w:divBdr>
                        <w:top w:val="none" w:sz="0" w:space="0" w:color="auto"/>
                        <w:left w:val="none" w:sz="0" w:space="0" w:color="auto"/>
                        <w:bottom w:val="none" w:sz="0" w:space="0" w:color="auto"/>
                        <w:right w:val="none" w:sz="0" w:space="0" w:color="auto"/>
                      </w:divBdr>
                      <w:divsChild>
                        <w:div w:id="1625501446">
                          <w:marLeft w:val="0"/>
                          <w:marRight w:val="0"/>
                          <w:marTop w:val="0"/>
                          <w:marBottom w:val="0"/>
                          <w:divBdr>
                            <w:top w:val="none" w:sz="0" w:space="0" w:color="auto"/>
                            <w:left w:val="none" w:sz="0" w:space="0" w:color="auto"/>
                            <w:bottom w:val="none" w:sz="0" w:space="0" w:color="auto"/>
                            <w:right w:val="none" w:sz="0" w:space="0" w:color="auto"/>
                          </w:divBdr>
                          <w:divsChild>
                            <w:div w:id="1109353118">
                              <w:marLeft w:val="0"/>
                              <w:marRight w:val="0"/>
                              <w:marTop w:val="0"/>
                              <w:marBottom w:val="0"/>
                              <w:divBdr>
                                <w:top w:val="none" w:sz="0" w:space="0" w:color="auto"/>
                                <w:left w:val="none" w:sz="0" w:space="0" w:color="auto"/>
                                <w:bottom w:val="none" w:sz="0" w:space="0" w:color="auto"/>
                                <w:right w:val="none" w:sz="0" w:space="0" w:color="auto"/>
                              </w:divBdr>
                              <w:divsChild>
                                <w:div w:id="145435366">
                                  <w:marLeft w:val="0"/>
                                  <w:marRight w:val="0"/>
                                  <w:marTop w:val="0"/>
                                  <w:marBottom w:val="0"/>
                                  <w:divBdr>
                                    <w:top w:val="none" w:sz="0" w:space="0" w:color="auto"/>
                                    <w:left w:val="none" w:sz="0" w:space="0" w:color="auto"/>
                                    <w:bottom w:val="none" w:sz="0" w:space="0" w:color="auto"/>
                                    <w:right w:val="none" w:sz="0" w:space="0" w:color="auto"/>
                                  </w:divBdr>
                                  <w:divsChild>
                                    <w:div w:id="1804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47">
      <w:bodyDiv w:val="1"/>
      <w:marLeft w:val="0"/>
      <w:marRight w:val="0"/>
      <w:marTop w:val="0"/>
      <w:marBottom w:val="0"/>
      <w:divBdr>
        <w:top w:val="none" w:sz="0" w:space="0" w:color="auto"/>
        <w:left w:val="none" w:sz="0" w:space="0" w:color="auto"/>
        <w:bottom w:val="none" w:sz="0" w:space="0" w:color="auto"/>
        <w:right w:val="none" w:sz="0" w:space="0" w:color="auto"/>
      </w:divBdr>
    </w:div>
    <w:div w:id="22102445">
      <w:bodyDiv w:val="1"/>
      <w:marLeft w:val="0"/>
      <w:marRight w:val="0"/>
      <w:marTop w:val="0"/>
      <w:marBottom w:val="0"/>
      <w:divBdr>
        <w:top w:val="none" w:sz="0" w:space="0" w:color="auto"/>
        <w:left w:val="none" w:sz="0" w:space="0" w:color="auto"/>
        <w:bottom w:val="none" w:sz="0" w:space="0" w:color="auto"/>
        <w:right w:val="none" w:sz="0" w:space="0" w:color="auto"/>
      </w:divBdr>
    </w:div>
    <w:div w:id="45303680">
      <w:bodyDiv w:val="1"/>
      <w:marLeft w:val="0"/>
      <w:marRight w:val="0"/>
      <w:marTop w:val="0"/>
      <w:marBottom w:val="0"/>
      <w:divBdr>
        <w:top w:val="none" w:sz="0" w:space="0" w:color="auto"/>
        <w:left w:val="none" w:sz="0" w:space="0" w:color="auto"/>
        <w:bottom w:val="none" w:sz="0" w:space="0" w:color="auto"/>
        <w:right w:val="none" w:sz="0" w:space="0" w:color="auto"/>
      </w:divBdr>
    </w:div>
    <w:div w:id="115761568">
      <w:bodyDiv w:val="1"/>
      <w:marLeft w:val="0"/>
      <w:marRight w:val="0"/>
      <w:marTop w:val="0"/>
      <w:marBottom w:val="0"/>
      <w:divBdr>
        <w:top w:val="none" w:sz="0" w:space="0" w:color="auto"/>
        <w:left w:val="none" w:sz="0" w:space="0" w:color="auto"/>
        <w:bottom w:val="none" w:sz="0" w:space="0" w:color="auto"/>
        <w:right w:val="none" w:sz="0" w:space="0" w:color="auto"/>
      </w:divBdr>
    </w:div>
    <w:div w:id="304092930">
      <w:bodyDiv w:val="1"/>
      <w:marLeft w:val="0"/>
      <w:marRight w:val="0"/>
      <w:marTop w:val="0"/>
      <w:marBottom w:val="0"/>
      <w:divBdr>
        <w:top w:val="none" w:sz="0" w:space="0" w:color="auto"/>
        <w:left w:val="none" w:sz="0" w:space="0" w:color="auto"/>
        <w:bottom w:val="none" w:sz="0" w:space="0" w:color="auto"/>
        <w:right w:val="none" w:sz="0" w:space="0" w:color="auto"/>
      </w:divBdr>
    </w:div>
    <w:div w:id="529147913">
      <w:bodyDiv w:val="1"/>
      <w:marLeft w:val="0"/>
      <w:marRight w:val="0"/>
      <w:marTop w:val="0"/>
      <w:marBottom w:val="0"/>
      <w:divBdr>
        <w:top w:val="none" w:sz="0" w:space="0" w:color="auto"/>
        <w:left w:val="none" w:sz="0" w:space="0" w:color="auto"/>
        <w:bottom w:val="none" w:sz="0" w:space="0" w:color="auto"/>
        <w:right w:val="none" w:sz="0" w:space="0" w:color="auto"/>
      </w:divBdr>
      <w:divsChild>
        <w:div w:id="1496871661">
          <w:marLeft w:val="0"/>
          <w:marRight w:val="0"/>
          <w:marTop w:val="0"/>
          <w:marBottom w:val="0"/>
          <w:divBdr>
            <w:top w:val="none" w:sz="0" w:space="0" w:color="auto"/>
            <w:left w:val="none" w:sz="0" w:space="0" w:color="auto"/>
            <w:bottom w:val="none" w:sz="0" w:space="0" w:color="auto"/>
            <w:right w:val="none" w:sz="0" w:space="0" w:color="auto"/>
          </w:divBdr>
          <w:divsChild>
            <w:div w:id="134684022">
              <w:marLeft w:val="0"/>
              <w:marRight w:val="0"/>
              <w:marTop w:val="600"/>
              <w:marBottom w:val="600"/>
              <w:divBdr>
                <w:top w:val="none" w:sz="0" w:space="0" w:color="auto"/>
                <w:left w:val="none" w:sz="0" w:space="0" w:color="auto"/>
                <w:bottom w:val="none" w:sz="0" w:space="0" w:color="auto"/>
                <w:right w:val="none" w:sz="0" w:space="0" w:color="auto"/>
              </w:divBdr>
              <w:divsChild>
                <w:div w:id="1130395873">
                  <w:marLeft w:val="0"/>
                  <w:marRight w:val="0"/>
                  <w:marTop w:val="0"/>
                  <w:marBottom w:val="0"/>
                  <w:divBdr>
                    <w:top w:val="none" w:sz="0" w:space="0" w:color="auto"/>
                    <w:left w:val="none" w:sz="0" w:space="0" w:color="auto"/>
                    <w:bottom w:val="none" w:sz="0" w:space="0" w:color="auto"/>
                    <w:right w:val="none" w:sz="0" w:space="0" w:color="auto"/>
                  </w:divBdr>
                  <w:divsChild>
                    <w:div w:id="2146775135">
                      <w:marLeft w:val="-225"/>
                      <w:marRight w:val="-225"/>
                      <w:marTop w:val="0"/>
                      <w:marBottom w:val="0"/>
                      <w:divBdr>
                        <w:top w:val="none" w:sz="0" w:space="0" w:color="auto"/>
                        <w:left w:val="none" w:sz="0" w:space="0" w:color="auto"/>
                        <w:bottom w:val="none" w:sz="0" w:space="0" w:color="auto"/>
                        <w:right w:val="none" w:sz="0" w:space="0" w:color="auto"/>
                      </w:divBdr>
                      <w:divsChild>
                        <w:div w:id="576018999">
                          <w:marLeft w:val="0"/>
                          <w:marRight w:val="0"/>
                          <w:marTop w:val="0"/>
                          <w:marBottom w:val="0"/>
                          <w:divBdr>
                            <w:top w:val="none" w:sz="0" w:space="0" w:color="auto"/>
                            <w:left w:val="none" w:sz="0" w:space="0" w:color="auto"/>
                            <w:bottom w:val="none" w:sz="0" w:space="0" w:color="auto"/>
                            <w:right w:val="none" w:sz="0" w:space="0" w:color="auto"/>
                          </w:divBdr>
                          <w:divsChild>
                            <w:div w:id="496960783">
                              <w:marLeft w:val="0"/>
                              <w:marRight w:val="0"/>
                              <w:marTop w:val="0"/>
                              <w:marBottom w:val="0"/>
                              <w:divBdr>
                                <w:top w:val="none" w:sz="0" w:space="0" w:color="auto"/>
                                <w:left w:val="none" w:sz="0" w:space="0" w:color="auto"/>
                                <w:bottom w:val="none" w:sz="0" w:space="0" w:color="auto"/>
                                <w:right w:val="none" w:sz="0" w:space="0" w:color="auto"/>
                              </w:divBdr>
                              <w:divsChild>
                                <w:div w:id="191764863">
                                  <w:marLeft w:val="0"/>
                                  <w:marRight w:val="0"/>
                                  <w:marTop w:val="0"/>
                                  <w:marBottom w:val="0"/>
                                  <w:divBdr>
                                    <w:top w:val="none" w:sz="0" w:space="0" w:color="auto"/>
                                    <w:left w:val="none" w:sz="0" w:space="0" w:color="auto"/>
                                    <w:bottom w:val="none" w:sz="0" w:space="0" w:color="auto"/>
                                    <w:right w:val="none" w:sz="0" w:space="0" w:color="auto"/>
                                  </w:divBdr>
                                  <w:divsChild>
                                    <w:div w:id="18885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960948">
      <w:bodyDiv w:val="1"/>
      <w:marLeft w:val="0"/>
      <w:marRight w:val="0"/>
      <w:marTop w:val="0"/>
      <w:marBottom w:val="0"/>
      <w:divBdr>
        <w:top w:val="none" w:sz="0" w:space="0" w:color="auto"/>
        <w:left w:val="none" w:sz="0" w:space="0" w:color="auto"/>
        <w:bottom w:val="none" w:sz="0" w:space="0" w:color="auto"/>
        <w:right w:val="none" w:sz="0" w:space="0" w:color="auto"/>
      </w:divBdr>
    </w:div>
    <w:div w:id="942298172">
      <w:bodyDiv w:val="1"/>
      <w:marLeft w:val="0"/>
      <w:marRight w:val="0"/>
      <w:marTop w:val="0"/>
      <w:marBottom w:val="0"/>
      <w:divBdr>
        <w:top w:val="none" w:sz="0" w:space="0" w:color="auto"/>
        <w:left w:val="none" w:sz="0" w:space="0" w:color="auto"/>
        <w:bottom w:val="none" w:sz="0" w:space="0" w:color="auto"/>
        <w:right w:val="none" w:sz="0" w:space="0" w:color="auto"/>
      </w:divBdr>
    </w:div>
    <w:div w:id="976102758">
      <w:bodyDiv w:val="1"/>
      <w:marLeft w:val="0"/>
      <w:marRight w:val="0"/>
      <w:marTop w:val="0"/>
      <w:marBottom w:val="0"/>
      <w:divBdr>
        <w:top w:val="none" w:sz="0" w:space="0" w:color="auto"/>
        <w:left w:val="none" w:sz="0" w:space="0" w:color="auto"/>
        <w:bottom w:val="none" w:sz="0" w:space="0" w:color="auto"/>
        <w:right w:val="none" w:sz="0" w:space="0" w:color="auto"/>
      </w:divBdr>
    </w:div>
    <w:div w:id="1017776454">
      <w:bodyDiv w:val="1"/>
      <w:marLeft w:val="0"/>
      <w:marRight w:val="0"/>
      <w:marTop w:val="0"/>
      <w:marBottom w:val="0"/>
      <w:divBdr>
        <w:top w:val="none" w:sz="0" w:space="0" w:color="auto"/>
        <w:left w:val="none" w:sz="0" w:space="0" w:color="auto"/>
        <w:bottom w:val="none" w:sz="0" w:space="0" w:color="auto"/>
        <w:right w:val="none" w:sz="0" w:space="0" w:color="auto"/>
      </w:divBdr>
    </w:div>
    <w:div w:id="1067655103">
      <w:bodyDiv w:val="1"/>
      <w:marLeft w:val="0"/>
      <w:marRight w:val="0"/>
      <w:marTop w:val="0"/>
      <w:marBottom w:val="0"/>
      <w:divBdr>
        <w:top w:val="none" w:sz="0" w:space="0" w:color="auto"/>
        <w:left w:val="none" w:sz="0" w:space="0" w:color="auto"/>
        <w:bottom w:val="none" w:sz="0" w:space="0" w:color="auto"/>
        <w:right w:val="none" w:sz="0" w:space="0" w:color="auto"/>
      </w:divBdr>
    </w:div>
    <w:div w:id="1275333224">
      <w:bodyDiv w:val="1"/>
      <w:marLeft w:val="0"/>
      <w:marRight w:val="0"/>
      <w:marTop w:val="0"/>
      <w:marBottom w:val="0"/>
      <w:divBdr>
        <w:top w:val="none" w:sz="0" w:space="0" w:color="auto"/>
        <w:left w:val="none" w:sz="0" w:space="0" w:color="auto"/>
        <w:bottom w:val="none" w:sz="0" w:space="0" w:color="auto"/>
        <w:right w:val="none" w:sz="0" w:space="0" w:color="auto"/>
      </w:divBdr>
    </w:div>
    <w:div w:id="1715689190">
      <w:bodyDiv w:val="1"/>
      <w:marLeft w:val="0"/>
      <w:marRight w:val="0"/>
      <w:marTop w:val="0"/>
      <w:marBottom w:val="0"/>
      <w:divBdr>
        <w:top w:val="none" w:sz="0" w:space="0" w:color="auto"/>
        <w:left w:val="none" w:sz="0" w:space="0" w:color="auto"/>
        <w:bottom w:val="none" w:sz="0" w:space="0" w:color="auto"/>
        <w:right w:val="none" w:sz="0" w:space="0" w:color="auto"/>
      </w:divBdr>
    </w:div>
    <w:div w:id="21455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xcooling.com/rep-search/" TargetMode="External"/><Relationship Id="rId3" Type="http://schemas.openxmlformats.org/officeDocument/2006/relationships/settings" Target="settings.xml"/><Relationship Id="rId7" Type="http://schemas.openxmlformats.org/officeDocument/2006/relationships/hyperlink" Target="mailto:andrew.rogers@sp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xcoo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CE65-CA53-44A4-8705-5052FBA7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Jacobson</dc:creator>
  <cp:lastModifiedBy>Rogers, Andrew</cp:lastModifiedBy>
  <cp:revision>2</cp:revision>
  <dcterms:created xsi:type="dcterms:W3CDTF">2023-02-02T15:48:00Z</dcterms:created>
  <dcterms:modified xsi:type="dcterms:W3CDTF">2023-02-02T15:48:00Z</dcterms:modified>
</cp:coreProperties>
</file>